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FF14B61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50" w:lineRule="exact"/>
        <w:ind w:left="0" w:right="0"/>
        <w:jc w:val="both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pacing w:val="-6"/>
          <w:kern w:val="0"/>
          <w:sz w:val="32"/>
          <w:szCs w:val="32"/>
          <w:lang w:val="en-US" w:eastAsia="zh-CN" w:bidi="ar"/>
        </w:rPr>
        <w:t>附件1</w:t>
      </w:r>
    </w:p>
    <w:p w14:paraId="2A021427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50" w:lineRule="exact"/>
        <w:ind w:left="0" w:right="0"/>
        <w:jc w:val="center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6"/>
          <w:kern w:val="2"/>
          <w:sz w:val="44"/>
          <w:szCs w:val="44"/>
          <w:lang w:val="en-US" w:eastAsia="zh-CN" w:bidi="ar"/>
        </w:rPr>
        <w:t xml:space="preserve"> </w:t>
      </w:r>
    </w:p>
    <w:p w14:paraId="164318A6">
      <w:pPr>
        <w:keepNext w:val="0"/>
        <w:keepLines w:val="0"/>
        <w:widowControl w:val="0"/>
        <w:suppressLineNumbers w:val="0"/>
        <w:autoSpaceDE/>
        <w:autoSpaceDN/>
        <w:snapToGrid w:val="0"/>
        <w:spacing w:before="0" w:beforeAutospacing="0" w:after="0" w:afterAutospacing="0" w:line="550" w:lineRule="exact"/>
        <w:ind w:left="0" w:right="0"/>
        <w:jc w:val="center"/>
        <w:rPr>
          <w:rFonts w:hint="default" w:ascii="Times New Roman" w:hAnsi="Times New Roman" w:eastAsia="方正小标宋简体" w:cs="Times New Roman"/>
          <w:b w:val="0"/>
          <w:bCs w:val="0"/>
          <w:spacing w:val="-6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6"/>
          <w:kern w:val="2"/>
          <w:sz w:val="44"/>
          <w:szCs w:val="44"/>
          <w:lang w:val="en-US" w:eastAsia="zh-CN" w:bidi="ar"/>
        </w:rPr>
        <w:t>浙江省加快新场景建设应用 推动科技和产业</w:t>
      </w:r>
    </w:p>
    <w:p w14:paraId="2E28EFF4">
      <w:pPr>
        <w:keepNext w:val="0"/>
        <w:keepLines w:val="0"/>
        <w:widowControl w:val="0"/>
        <w:suppressLineNumbers w:val="0"/>
        <w:autoSpaceDE/>
        <w:autoSpaceDN/>
        <w:snapToGrid w:val="0"/>
        <w:spacing w:before="0" w:beforeAutospacing="0" w:after="0" w:afterAutospacing="0" w:line="550" w:lineRule="exact"/>
        <w:ind w:left="0" w:right="0"/>
        <w:jc w:val="center"/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6"/>
          <w:kern w:val="2"/>
          <w:sz w:val="44"/>
          <w:szCs w:val="44"/>
          <w:lang w:val="en-US" w:eastAsia="zh-CN" w:bidi="ar"/>
        </w:rPr>
        <w:t>高质量发展行动方案（2026-2027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-6"/>
          <w:kern w:val="2"/>
          <w:sz w:val="44"/>
          <w:szCs w:val="44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6"/>
          <w:kern w:val="2"/>
          <w:sz w:val="44"/>
          <w:szCs w:val="44"/>
          <w:lang w:val="en-US" w:eastAsia="zh-CN" w:bidi="ar"/>
        </w:rPr>
        <w:t>）</w:t>
      </w:r>
    </w:p>
    <w:p w14:paraId="61ED4FB6"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50" w:lineRule="exact"/>
        <w:ind w:left="0" w:right="0" w:firstLine="632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 xml:space="preserve"> </w:t>
      </w:r>
    </w:p>
    <w:p w14:paraId="262BDE84"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50" w:lineRule="exact"/>
        <w:ind w:left="0" w:right="0" w:firstLine="632" w:firstLineChars="200"/>
        <w:jc w:val="both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为贯彻落实《国务院办公厅关于加快场景培育和开放 推动新场景大规模应用的实施意见》（国办发〔2025〕37号），充分发挥我省在数字经济、民营经济等方面的特色优势，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加快场景培育和开放，推动新场景大规模应用，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全力打造具有全国影响力、浙江辨识度的场景创新高地，制定本行动方案。</w:t>
      </w:r>
    </w:p>
    <w:p w14:paraId="4BE316D0">
      <w:pPr>
        <w:keepNext w:val="0"/>
        <w:keepLines w:val="0"/>
        <w:widowControl w:val="0"/>
        <w:numPr>
          <w:ilvl w:val="0"/>
          <w:numId w:val="3"/>
        </w:numPr>
        <w:suppressLineNumbers w:val="0"/>
        <w:autoSpaceDE/>
        <w:autoSpaceDN/>
        <w:adjustRightInd w:val="0"/>
        <w:snapToGrid w:val="0"/>
        <w:spacing w:before="0" w:beforeAutospacing="0" w:after="0" w:afterAutospacing="0" w:line="550" w:lineRule="exact"/>
        <w:ind w:left="0" w:right="0" w:firstLine="640" w:firstLineChars="0"/>
        <w:jc w:val="both"/>
        <w:outlineLvl w:val="0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总体要求</w:t>
      </w:r>
    </w:p>
    <w:p w14:paraId="2A302C9D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50" w:lineRule="exact"/>
        <w:ind w:left="0" w:right="0" w:rightChars="0" w:firstLine="632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学习贯彻习近平总书记考察浙江重要讲话精神和省委“132”总体工作部署，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将场景作为推动我省“两新”深度融合、建设一流创新生态的重要抓手，聚焦“315”科技创新体系、“415X”先进制造业集群和现代服务业，全力打造浙江“524X”场景体系，即聚焦5大方面（前沿科技创新、产业转型升级、行业智慧监管、高效社会治理、普惠民生服务）、24个重点领域（人工智能、量子科技、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全空间无人体系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、海洋经济等），分层分类打造一批综合性重大场景、高价值小切口场景、行业领域集成式场景和地方特色场景，加快构建全域联动、供需对接、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2"/>
          <w:sz w:val="32"/>
          <w:szCs w:val="32"/>
          <w:lang w:val="en-US" w:eastAsia="zh-CN" w:bidi="ar"/>
        </w:rPr>
        <w:t>公平开放、要素保障、流程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闭环的场景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2"/>
          <w:sz w:val="32"/>
          <w:szCs w:val="32"/>
          <w:lang w:val="en-US" w:eastAsia="zh-CN" w:bidi="ar"/>
        </w:rPr>
        <w:t>培育开放应用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机制，形成技术突破-场景验证-产业应用-体系升级的完整链条，塑造“浙里新场景”品牌，为创新浙江建设和全省高质量发展注入强劲动力。</w:t>
      </w:r>
    </w:p>
    <w:p w14:paraId="0F2A41EF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632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2026年起，每年开放150个以上新场景，其中在浙央企、国企和链主型企业开放100个以上主业领域场景，打造10个以上综合性重大场景、30个以上地方特色场景、50个以上行业领域集成式场景、200个以上高价值小切口场景，培育100家以上场景创新标杆企业，推进一批新技术、新产品的首用首试，带动有效投资3000亿元以上。到2027年底，场景建设走在全国前列，新场景大规模应用并催生新业态新模式，场景创新成为创新浙江建设和高质量发展的鲜明标识。</w:t>
      </w:r>
    </w:p>
    <w:p w14:paraId="593A7B81"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leftChars="0" w:right="0" w:rightChars="0" w:firstLine="608" w:firstLineChars="200"/>
        <w:jc w:val="both"/>
        <w:outlineLvl w:val="0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二、加快培育重点领域应用场景</w:t>
      </w:r>
    </w:p>
    <w:p w14:paraId="19996794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608" w:firstLineChars="200"/>
        <w:jc w:val="both"/>
        <w:outlineLvl w:val="1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（一）培育一批前沿科技创新应用场景</w:t>
      </w:r>
    </w:p>
    <w:p w14:paraId="2DAF193D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right="0" w:rightChars="0" w:firstLine="632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"/>
        </w:rPr>
        <w:t>1.人工智能。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鼓励支持骨干企业、科研院所联合创新，聚焦世界模型、智能体、数据合成仿真、自主软硬件生态等领域，加大人工智能核心技术攻关。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推动“魔搭社区”等开源平台有序开放算法模型库、行业数据集、工具集等核心资源，打造自主可控开源生态。在工业、科技、医疗、教育、文旅等优势赛道，打造一批“人工智能+”应用场景，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支持智能体创新应用，鼓励龙头企业牵头建设智能体开源平台和插件市场，推进智能终端消费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2"/>
          <w:sz w:val="32"/>
          <w:szCs w:val="32"/>
          <w:lang w:val="en-US" w:eastAsia="zh-CN" w:bidi="ar"/>
        </w:rPr>
        <w:t>产品应用。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支持杭州市加快建设“人工智能创新发展第一城”。到2027年底，打造300个以上“人工智能+”典型应用场景，国企滚动开放不低于60个“人工智能+”应用场景，推动新一代智能终端、企业智能体等在重点行业的应用普及率超过75%。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（省发展改革委牵头，省经信厅、省科技厅、省国资委、各行业主管部门按职责分工负责）</w:t>
      </w:r>
    </w:p>
    <w:p w14:paraId="352D37D8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604" w:lineRule="exact"/>
        <w:ind w:left="0" w:right="0" w:rightChars="0" w:firstLine="632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"/>
        </w:rPr>
        <w:t>2.人形机器人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优先推进人形机器人在文旅景点、商超零售、科技馆等场所应用，打造“导览导购”场景。加快推进“进厂打工”，围绕焊接、喷涂、装配、搬运、分捡、包装等环节培育人形机器人应用场景。打造“生活帮手”场景，逐步发展居家清洁、医疗护理、情感陪伴、安全看护等应用，推进快递分拣、外卖末端配送应用。打造安全巡逻、交通疏导、应急救援等特种应用场景，有序组织人形机器人“服役上岗”。到2027年，建成10个人形机器人训练场和示范应用产线，培育“人形机器人+”示范应用场景30个，带动整机年产量突破2万台。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（省经信厅牵头，省公安厅、省民政厅、省交通运输厅、省商务厅、省应急管理厅、省文化广电和旅游厅、省国资委按职责分工负责）</w:t>
      </w:r>
    </w:p>
    <w:p w14:paraId="2346C452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604" w:lineRule="exact"/>
        <w:ind w:left="0" w:right="0" w:rightChars="0" w:firstLine="632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"/>
        </w:rPr>
        <w:t>3.量子科技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推进量子通信城市间干线和中心城市城域网等商用网络建设，围绕通信加密、商业密码、数据安全等需求，培育政务、安防、金融、医疗、电力等示范应用场景。加速量子重力仪、磁力仪、原子钟等标志性产品产业化，推进在航空航天、医疗诊断、海洋探测、地质监测、矿产勘察等领域创新应用。持续推动零磁医疗装备示范应用。推动量子计算与人工智能融合发展，探索在药物研发、金融建模等关键环节应用。到2027年，培育量子科技高价值场景10个，以示范应用带动量子产业实现商业化规模化发展。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（省密码管理局、省经信厅、省科技厅、省卫生健康委、省海洋经济厅按职责分工负责）</w:t>
      </w:r>
    </w:p>
    <w:p w14:paraId="22AE3094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right="0" w:rightChars="0" w:firstLine="632" w:firstLineChars="200"/>
        <w:jc w:val="both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0"/>
          <w:sz w:val="32"/>
          <w:szCs w:val="32"/>
          <w:lang w:val="en-US" w:eastAsia="zh-CN" w:bidi="ar"/>
        </w:rPr>
        <w:t>4.脑机接口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在医疗康复领域培育运动功能重建、语言障碍沟通、意识障碍评估与神经疾病干预等应用场景，助力运动功能和认知功能恢复，辅助语言功能重建和感官功能改善，服务疾病早期筛查。在智能控制与娱乐交互领域，培育智能家居、工业控制、沉浸式游戏、增强现实、消费电子等应用场景，推动脑机接口从实验室走向生活应用。探索在教育和职业健康领域的应用潜力，发展脑力训练、专注力培养、特殊职业人群脑疲劳监测等个性化应用场景。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到2027年，培育脑机接口高价值应用场景10个，推动进入临床应用。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（省科技厅、省经信厅、省卫生健康委、省国资委、省药监局、省医保局、省残联按职责分工负责）</w:t>
      </w:r>
    </w:p>
    <w:p w14:paraId="0D3B3B85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608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6"/>
          <w:kern w:val="2"/>
          <w:sz w:val="32"/>
          <w:szCs w:val="32"/>
          <w:lang w:val="en-US" w:eastAsia="zh-CN" w:bidi="ar"/>
        </w:rPr>
        <w:t>5.全空间无人体系。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kern w:val="0"/>
          <w:sz w:val="32"/>
          <w:szCs w:val="32"/>
          <w:lang w:val="en-US" w:eastAsia="zh-CN" w:bidi="ar"/>
        </w:rPr>
        <w:t>开展省低空经济“先飞区”试点，</w:t>
      </w:r>
      <w:r>
        <w:rPr>
          <w:rFonts w:hint="default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"/>
        </w:rPr>
        <w:t>推动“低空+”典型场景在农林作业、电力巡检、工程建设、国土勘测、城市治理、应急救援等领域拓展应用。建设省级低空智能网联系统，推广“一网统飞”低空政务应用模式。完善低空飞行活动公安联合审核机制，推进低空安全管理平台建设，开展低空安全治理试点。支持杭州、宁波、嘉兴、绍兴等地建设低空经济创新高地。推动无人驾驶车辆示范应用，建立L3智能驾驶试点交通管理细则和政企联动运营机制。深化杭州—桐乡—德清“车路云一体化”试点和德清车联网试点建设。到2027年，全省低空典型场景案例达到20个，形成5个以上全国领先商业新模式，在全国率先建成多城联动、跨城互通的智能网联示范省。</w:t>
      </w:r>
      <w:r>
        <w:rPr>
          <w:rFonts w:hint="default" w:ascii="Times New Roman" w:hAnsi="Times New Roman" w:eastAsia="楷体_GB2312" w:cs="Times New Roman"/>
          <w:spacing w:val="-6"/>
          <w:kern w:val="2"/>
          <w:sz w:val="32"/>
          <w:szCs w:val="32"/>
          <w:lang w:val="en-US" w:eastAsia="zh-CN" w:bidi="ar"/>
        </w:rPr>
        <w:t>（省交通运输厅牵头，省发展改革委、省经信厅、省公安厅、省国资委按职责分工负责）</w:t>
      </w:r>
    </w:p>
    <w:p w14:paraId="5C09A191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604" w:lineRule="exact"/>
        <w:ind w:left="0" w:right="0" w:rightChars="0" w:firstLine="632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"/>
        </w:rPr>
        <w:t>6.生物技术。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加快生物医药、生物化工、生物能源等关键技术突破，培育发展细胞和基因治疗、抗体药物、核药、生物燃料、生物农药、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生物基材料替代、天然产物绿色制备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等赛道，</w:t>
      </w:r>
      <w:r>
        <w:rPr>
          <w:rFonts w:hint="default" w:ascii="Times New Roman" w:hAnsi="Times New Roman" w:eastAsia="仿宋_GB2312" w:cs="Times New Roman"/>
          <w:i w:val="0"/>
          <w:iCs w:val="0"/>
          <w:spacing w:val="0"/>
          <w:kern w:val="0"/>
          <w:sz w:val="32"/>
          <w:szCs w:val="32"/>
          <w:lang w:val="en-US" w:eastAsia="zh-CN" w:bidi="ar"/>
        </w:rPr>
        <w:t>建设生产供应场景。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推动生物+AI深度融合，构建生物数据库、生物AI大模型等支撑体系。</w:t>
      </w:r>
      <w:r>
        <w:rPr>
          <w:rFonts w:hint="default" w:ascii="Times New Roman" w:hAnsi="Times New Roman" w:eastAsia="仿宋_GB2312" w:cs="Times New Roman"/>
          <w:i w:val="0"/>
          <w:iCs w:val="0"/>
          <w:spacing w:val="0"/>
          <w:kern w:val="0"/>
          <w:sz w:val="32"/>
          <w:szCs w:val="32"/>
          <w:lang w:val="en-US" w:eastAsia="zh-CN" w:bidi="ar"/>
        </w:rPr>
        <w:t>支持杭州打造创新药研发高地、嘉兴打造医用同位素“产学研用”协同创新高地。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到2027年，打造生物医药千亿级重点产业，培育5家百亿级龙头企业，培育5个以上具有全国影响力的生物AI大模型，打造成为具有全球竞争力的生物科技创新高地、生物制造产业集聚高地、“生物+AI”融合应用高地。</w:t>
      </w:r>
      <w:r>
        <w:rPr>
          <w:rFonts w:hint="default" w:ascii="Times New Roman" w:hAnsi="Times New Roman" w:eastAsia="楷体_GB2312" w:cs="Times New Roman"/>
          <w:i w:val="0"/>
          <w:iCs w:val="0"/>
          <w:color w:val="000000"/>
          <w:spacing w:val="0"/>
          <w:kern w:val="2"/>
          <w:sz w:val="32"/>
          <w:szCs w:val="32"/>
          <w:lang w:val="en-US" w:eastAsia="zh-CN" w:bidi="ar"/>
        </w:rPr>
        <w:t>（省发展改革委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牵头，</w:t>
      </w:r>
      <w:r>
        <w:rPr>
          <w:rFonts w:hint="default" w:ascii="Times New Roman" w:hAnsi="Times New Roman" w:eastAsia="楷体_GB2312" w:cs="Times New Roman"/>
          <w:i w:val="0"/>
          <w:iCs w:val="0"/>
          <w:color w:val="000000"/>
          <w:spacing w:val="0"/>
          <w:kern w:val="2"/>
          <w:sz w:val="32"/>
          <w:szCs w:val="32"/>
          <w:lang w:val="en-US" w:eastAsia="zh-CN" w:bidi="ar"/>
        </w:rPr>
        <w:t>省经信厅、省科技厅、省能源局、省农业农村厅、省卫生健康委、省数据局按照职责分工负责）</w:t>
      </w:r>
    </w:p>
    <w:p w14:paraId="2A7F0D07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604" w:lineRule="exact"/>
        <w:ind w:left="0" w:right="0" w:firstLine="608" w:firstLineChars="200"/>
        <w:jc w:val="both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6"/>
          <w:kern w:val="2"/>
          <w:sz w:val="32"/>
          <w:szCs w:val="32"/>
          <w:lang w:val="en-US" w:eastAsia="zh-CN" w:bidi="ar"/>
        </w:rPr>
        <w:t>7.氢能。</w:t>
      </w:r>
      <w:r>
        <w:rPr>
          <w:rFonts w:hint="default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"/>
        </w:rPr>
        <w:t>建设长三角氢能高速公路和氢走廊，推广港口重卡、冷链物流、公交客运等燃料电池汽车，发展船舶、叉车、两轮车、无人机等氢能交通应用场景。一体化建设可再生能源制氢项目，规模化制取绿色合成氨和绿色甲醇，推进氢基化工原料替代和氢冶金应用。在工业和民用领域，在保证安全的前提下，探索天然气掺氢燃烧应用场景。到2027年，终端用氢平均价格降至25元/千克以下，燃料电池汽车保有量达到2000辆，可再生能源制氢进入工业应用，构建经济高效的氢能综合应用体系。</w:t>
      </w:r>
      <w:r>
        <w:rPr>
          <w:rFonts w:hint="default" w:ascii="Times New Roman" w:hAnsi="Times New Roman" w:eastAsia="楷体_GB2312" w:cs="Times New Roman"/>
          <w:color w:val="000000"/>
          <w:spacing w:val="-6"/>
          <w:kern w:val="2"/>
          <w:sz w:val="32"/>
          <w:szCs w:val="32"/>
          <w:lang w:val="en-US" w:eastAsia="zh-CN" w:bidi="ar"/>
        </w:rPr>
        <w:t>（省经信厅</w:t>
      </w:r>
      <w:r>
        <w:rPr>
          <w:rFonts w:hint="default" w:ascii="Times New Roman" w:hAnsi="Times New Roman" w:eastAsia="楷体_GB2312" w:cs="Times New Roman"/>
          <w:spacing w:val="-6"/>
          <w:kern w:val="2"/>
          <w:sz w:val="32"/>
          <w:szCs w:val="32"/>
          <w:lang w:val="en-US" w:eastAsia="zh-CN" w:bidi="ar"/>
        </w:rPr>
        <w:t>牵头，</w:t>
      </w:r>
      <w:r>
        <w:rPr>
          <w:rFonts w:hint="default" w:ascii="Times New Roman" w:hAnsi="Times New Roman" w:eastAsia="楷体_GB2312" w:cs="Times New Roman"/>
          <w:color w:val="000000"/>
          <w:spacing w:val="-6"/>
          <w:kern w:val="2"/>
          <w:sz w:val="32"/>
          <w:szCs w:val="32"/>
          <w:lang w:val="en-US" w:eastAsia="zh-CN" w:bidi="ar"/>
        </w:rPr>
        <w:t>省能源局、省交通运输厅、省建设厅、省生态环境厅</w:t>
      </w:r>
      <w:r>
        <w:rPr>
          <w:rFonts w:hint="default" w:ascii="Times New Roman" w:hAnsi="Times New Roman" w:eastAsia="楷体_GB2312" w:cs="Times New Roman"/>
          <w:spacing w:val="-6"/>
          <w:kern w:val="2"/>
          <w:sz w:val="32"/>
          <w:szCs w:val="32"/>
          <w:lang w:val="en-US" w:eastAsia="zh-CN" w:bidi="ar"/>
        </w:rPr>
        <w:t>、省国资委</w:t>
      </w:r>
      <w:r>
        <w:rPr>
          <w:rFonts w:hint="default" w:ascii="Times New Roman" w:hAnsi="Times New Roman" w:eastAsia="楷体_GB2312" w:cs="Times New Roman"/>
          <w:color w:val="000000"/>
          <w:spacing w:val="-6"/>
          <w:kern w:val="2"/>
          <w:sz w:val="32"/>
          <w:szCs w:val="32"/>
          <w:lang w:val="en-US" w:eastAsia="zh-CN" w:bidi="ar"/>
        </w:rPr>
        <w:t>按照职责分工负责）</w:t>
      </w:r>
    </w:p>
    <w:p w14:paraId="4F42CE43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50" w:lineRule="exact"/>
        <w:ind w:left="0" w:right="0" w:firstLine="608" w:firstLineChars="200"/>
        <w:jc w:val="both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6"/>
          <w:kern w:val="2"/>
          <w:sz w:val="32"/>
          <w:szCs w:val="32"/>
          <w:lang w:val="en-US" w:eastAsia="zh-CN" w:bidi="ar"/>
        </w:rPr>
        <w:t>8.新一代通信网络。</w:t>
      </w:r>
      <w:r>
        <w:rPr>
          <w:rFonts w:hint="default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"/>
        </w:rPr>
        <w:t>推进6G原型样机和核心产品研发，创新通智融合、星地融合验证能力。加强5G-A与人工智能在重点行业领域的融合应用。推进智算云服务试点，建设智算云应用场景。加快北斗与惯性导航、高精度视觉等技术融合创新，促进北斗在智慧城市、智能交通、智慧物流、智慧海洋等新场景深度融合应用。探索推进卫星通信与工业互联网、车联网、航空机载通信、低空智联网等新一代信息基础设施交叉融合，推动汽车、船舶、飞机等直连卫星。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到2027年，培育5G/</w:t>
      </w:r>
      <w:r>
        <w:rPr>
          <w:rFonts w:hint="default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"/>
        </w:rPr>
        <w:t>5G-A、智算云、北斗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、卫星直连</w:t>
      </w:r>
      <w:r>
        <w:rPr>
          <w:rFonts w:hint="default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"/>
        </w:rPr>
        <w:t>等应用场景50个，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加速新一代通信网络产业化应用。（</w:t>
      </w:r>
      <w:r>
        <w:rPr>
          <w:rFonts w:hint="default" w:ascii="Times New Roman" w:hAnsi="Times New Roman" w:eastAsia="楷体_GB2312" w:cs="Times New Roman"/>
          <w:spacing w:val="-6"/>
          <w:kern w:val="0"/>
          <w:sz w:val="32"/>
          <w:szCs w:val="32"/>
          <w:lang w:val="en-US" w:eastAsia="zh-CN" w:bidi="ar"/>
        </w:rPr>
        <w:t>省经信厅</w:t>
      </w:r>
      <w:r>
        <w:rPr>
          <w:rFonts w:hint="default" w:ascii="Times New Roman" w:hAnsi="Times New Roman" w:eastAsia="楷体_GB2312" w:cs="Times New Roman"/>
          <w:spacing w:val="-6"/>
          <w:kern w:val="2"/>
          <w:sz w:val="32"/>
          <w:szCs w:val="32"/>
          <w:lang w:val="en-US" w:eastAsia="zh-CN" w:bidi="ar"/>
        </w:rPr>
        <w:t>牵头，省国资委、省科技厅、</w:t>
      </w:r>
      <w:r>
        <w:rPr>
          <w:rFonts w:hint="default" w:ascii="Times New Roman" w:hAnsi="Times New Roman" w:eastAsia="楷体_GB2312" w:cs="Times New Roman"/>
          <w:spacing w:val="-6"/>
          <w:kern w:val="0"/>
          <w:sz w:val="32"/>
          <w:szCs w:val="32"/>
          <w:lang w:val="en-US" w:eastAsia="zh-CN" w:bidi="ar"/>
        </w:rPr>
        <w:t>省通信管理局按职责分工负责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）</w:t>
      </w:r>
    </w:p>
    <w:p w14:paraId="636C32AB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50" w:lineRule="exact"/>
        <w:ind w:left="0" w:right="0" w:firstLine="640"/>
        <w:jc w:val="both"/>
        <w:outlineLvl w:val="1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（二）培育一批产业转型升级应用场景</w:t>
      </w:r>
    </w:p>
    <w:p w14:paraId="5F982D33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50" w:lineRule="exact"/>
        <w:ind w:left="0" w:right="0" w:rightChars="0" w:firstLine="632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"/>
        </w:rPr>
        <w:t>9.数智转型。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围绕AI原生应用迭代建设未来工厂，搭建“大模型+小模型”的工业智能体系，打造数字化设计、智能化生产、模型化发展、智慧供应链等应用场景。面向中小企业体系化部署智能制造装备、工业软件和系统，提升数字化智能化水平。推动工业互联网与人工智能融合应用，探索“平台+智能体”等新模式，加快工业互联网在生产调度、质量追溯、预测性维护、供应链协同等场景的应用。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建设高标准数字园区，通过物联网（IoT）、大数据分析实现柔性生产。推动设计与制造业、AI深度融合，打造垂类模型。支持宁波加快打造全球先进制造业基地。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到2027年，累计培育未来工厂150家左右，建成10个左右高标准数字园区，每年新增省级工业设计中心50家。（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省经信厅牵头，省发展改革委、省国资委按职责分工负责）</w:t>
      </w:r>
    </w:p>
    <w:p w14:paraId="02EBBFE2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608" w:firstLineChars="200"/>
        <w:jc w:val="both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6"/>
          <w:kern w:val="2"/>
          <w:sz w:val="32"/>
          <w:szCs w:val="32"/>
          <w:lang w:val="en-US" w:eastAsia="zh-CN" w:bidi="ar"/>
        </w:rPr>
        <w:t>10.节能降碳。</w:t>
      </w:r>
      <w:r>
        <w:rPr>
          <w:rFonts w:hint="default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"/>
        </w:rPr>
        <w:t>推进绿色工厂、零碳（近零碳）工厂培育建设，试点打造低碳园区、零碳园区。鼓励企业打造氢能应用、光储充系统应用、智能微电网建设等创新场景。</w:t>
      </w:r>
      <w:r>
        <w:rPr>
          <w:rFonts w:hint="default" w:ascii="Times New Roman" w:hAnsi="Times New Roman" w:eastAsia="仿宋_GB2312" w:cs="Times New Roman"/>
          <w:i w:val="0"/>
          <w:iCs w:val="0"/>
          <w:spacing w:val="-6"/>
          <w:kern w:val="0"/>
          <w:sz w:val="32"/>
          <w:szCs w:val="32"/>
          <w:lang w:val="en-US" w:eastAsia="zh-CN" w:bidi="ar"/>
        </w:rPr>
        <w:t>建设智能电网，重点推进海岛柔性直流联网等场景。推进“量子+电力”，在特高压电缆、变电站等场景开展智能监测系统示范应用。推进深远海清洁能源建设、消纳，规模化开发深远海风电。支持车网互动，建设大功率交流充放电应用。加快港口绿色可再生能源替代，实现码头岸电覆盖并提升利用效率，推广新能源集卡、纯电动船舶、船用绿色甲醇等清洁装备和燃料，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加快推进义乌－宁波新能源重卡示范线二期工程建设</w:t>
      </w:r>
      <w:r>
        <w:rPr>
          <w:rFonts w:hint="default" w:ascii="Times New Roman" w:hAnsi="Times New Roman" w:eastAsia="仿宋_GB2312" w:cs="Times New Roman"/>
          <w:i w:val="0"/>
          <w:iCs w:val="0"/>
          <w:spacing w:val="-6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kern w:val="0"/>
          <w:sz w:val="32"/>
          <w:szCs w:val="32"/>
          <w:lang w:val="en-US" w:eastAsia="zh-CN" w:bidi="ar"/>
        </w:rPr>
        <w:t>到2027年，清洁能源装机占比超50%，新增充电桩4万个。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（省能源局</w:t>
      </w:r>
      <w:r>
        <w:rPr>
          <w:rFonts w:hint="default" w:ascii="Times New Roman" w:hAnsi="Times New Roman" w:eastAsia="楷体_GB2312" w:cs="Times New Roman"/>
          <w:spacing w:val="-6"/>
          <w:kern w:val="2"/>
          <w:sz w:val="32"/>
          <w:szCs w:val="32"/>
          <w:lang w:val="en-US" w:eastAsia="zh-CN" w:bidi="ar"/>
        </w:rPr>
        <w:t>牵头，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spacing w:val="-6"/>
          <w:kern w:val="2"/>
          <w:sz w:val="32"/>
          <w:szCs w:val="32"/>
          <w:lang w:val="en-US" w:eastAsia="zh-CN" w:bidi="ar"/>
        </w:rPr>
        <w:t>省发展改革委、省经信厅、省建设厅、</w:t>
      </w:r>
      <w:r>
        <w:rPr>
          <w:rFonts w:hint="default" w:ascii="Times New Roman" w:hAnsi="Times New Roman" w:eastAsia="楷体_GB2312" w:cs="Times New Roman"/>
          <w:spacing w:val="-6"/>
          <w:kern w:val="2"/>
          <w:sz w:val="32"/>
          <w:szCs w:val="32"/>
          <w:lang w:val="en-US" w:eastAsia="zh-CN" w:bidi="ar"/>
        </w:rPr>
        <w:t>省国资委、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spacing w:val="-6"/>
          <w:kern w:val="2"/>
          <w:sz w:val="32"/>
          <w:szCs w:val="32"/>
          <w:lang w:val="en-US" w:eastAsia="zh-CN" w:bidi="ar"/>
        </w:rPr>
        <w:t>省电力公司</w:t>
      </w:r>
      <w:r>
        <w:rPr>
          <w:rFonts w:hint="default" w:ascii="Times New Roman" w:hAnsi="Times New Roman" w:eastAsia="楷体_GB2312" w:cs="Times New Roman"/>
          <w:i w:val="0"/>
          <w:iCs w:val="0"/>
          <w:color w:val="000000"/>
          <w:spacing w:val="-6"/>
          <w:kern w:val="2"/>
          <w:sz w:val="32"/>
          <w:szCs w:val="32"/>
          <w:lang w:val="en-US" w:eastAsia="zh-CN" w:bidi="ar"/>
        </w:rPr>
        <w:t>按照职责分工负责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）</w:t>
      </w:r>
    </w:p>
    <w:p w14:paraId="2B89BB28">
      <w:pPr>
        <w:pStyle w:val="13"/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632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"/>
        </w:rPr>
        <w:t>11.智慧物流。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加快建设（近）零碳物流园区，规范提升园区建设标准，重点推进电动货运接驳、园区全域光伏覆盖、光储充一体化补能、循环包装共享等应用场景。实施老旧仓库智慧改造升级，支持企业物流仓储模式创新，重点建设立体高标仓智能存储、共享云仓与仓配一体化、AI智慧调度等场景。打造“四港”智慧物流云平台，推进“四港智运”大模型迭代升级，持续强化“一网智联”服务效能。到2027年，全省新增4个以上（近）零碳物流园区，全省新增物流园区基本实现智慧仓储场景全覆盖。“四港”联动云平台用户数超10万。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（省发展改革委牵头，省交通运输厅、省国资委按职责分工负责）</w:t>
      </w:r>
    </w:p>
    <w:p w14:paraId="76E48396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608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6"/>
          <w:kern w:val="2"/>
          <w:sz w:val="32"/>
          <w:szCs w:val="32"/>
          <w:lang w:val="en-US" w:eastAsia="zh-CN" w:bidi="ar"/>
        </w:rPr>
        <w:t>12.现代农业。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完善种业全产业链，建设数智育苗工厂、种业育繁推一体化、</w:t>
      </w:r>
      <w:r>
        <w:rPr>
          <w:rFonts w:hint="default" w:ascii="Times New Roman" w:hAnsi="Times New Roman" w:eastAsia="仿宋_GB2312" w:cs="Times New Roman"/>
          <w:color w:val="000000"/>
          <w:spacing w:val="-6"/>
          <w:kern w:val="0"/>
          <w:sz w:val="32"/>
          <w:szCs w:val="32"/>
          <w:lang w:val="en-US" w:eastAsia="zh-CN" w:bidi="ar"/>
        </w:rPr>
        <w:t>智慧检疫、动物疫病监测、农作物病虫害监测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-6"/>
          <w:kern w:val="0"/>
          <w:sz w:val="32"/>
          <w:szCs w:val="32"/>
          <w:lang w:val="en-US" w:eastAsia="zh-CN" w:bidi="ar"/>
        </w:rPr>
        <w:t>防控</w:t>
      </w:r>
      <w:r>
        <w:rPr>
          <w:rFonts w:hint="default" w:ascii="Times New Roman" w:hAnsi="Times New Roman" w:eastAsia="仿宋_GB2312" w:cs="Times New Roman"/>
          <w:color w:val="000000"/>
          <w:spacing w:val="-6"/>
          <w:kern w:val="0"/>
          <w:sz w:val="32"/>
          <w:szCs w:val="32"/>
          <w:lang w:val="en-US" w:eastAsia="zh-CN" w:bidi="ar"/>
        </w:rPr>
        <w:t>等领域场景。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推进农业智能装备与模型场景验证中试基地建设，重点打造作物表型诊断、田间生产精准决策等垂直大模型。建设智慧农（牧、渔）场，开展智能农机研发推广，建成一批具备数字化服务能力的农事服务中心。到2027年，建设种业振兴基地（平台）60个以上，培育700家数字农业工厂，建设数字化农事服务中心达100家。</w:t>
      </w:r>
      <w:r>
        <w:rPr>
          <w:rFonts w:hint="default" w:ascii="Times New Roman" w:hAnsi="Times New Roman" w:eastAsia="楷体_GB2312" w:cs="Times New Roman"/>
          <w:spacing w:val="-6"/>
          <w:kern w:val="2"/>
          <w:sz w:val="32"/>
          <w:szCs w:val="32"/>
          <w:lang w:val="en-US" w:eastAsia="zh-CN" w:bidi="ar"/>
        </w:rPr>
        <w:t>（省农业农村厅负责）</w:t>
      </w:r>
    </w:p>
    <w:p w14:paraId="52DD63DF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608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6"/>
          <w:kern w:val="2"/>
          <w:sz w:val="32"/>
          <w:szCs w:val="32"/>
          <w:lang w:val="en-US" w:eastAsia="zh-CN" w:bidi="ar"/>
        </w:rPr>
        <w:t>13.海洋经济。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kern w:val="0"/>
          <w:sz w:val="32"/>
          <w:szCs w:val="32"/>
          <w:lang w:val="en-US" w:eastAsia="zh-CN" w:bidi="ar"/>
        </w:rPr>
        <w:t>建设深远海智能养殖、潮流能规模化利用、“海上风电+”等产业发展场景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。依托国家海洋综合试验场，加快建设海洋关键材料研制和应用场景。大力推进“人工智能+港口”场景建设，实施“中欧北极集装箱航线常态化运营”试点。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kern w:val="0"/>
          <w:sz w:val="32"/>
          <w:szCs w:val="32"/>
          <w:lang w:val="en-US" w:eastAsia="zh-CN" w:bidi="ar"/>
        </w:rPr>
        <w:t>深入推进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海洋资源环境可信数据空间建设，在港口航运等领域率先落地数据赋能应用场景。加快“人工智能+渔船安全”国家试点，推进船员防疲劳驾驶智能管理、渔港防火灾智能预警等场景建设。到2027年，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kern w:val="0"/>
          <w:sz w:val="32"/>
          <w:szCs w:val="32"/>
          <w:lang w:val="en-US" w:eastAsia="zh-CN" w:bidi="ar"/>
        </w:rPr>
        <w:t>培育具有全国影响力的海洋经济领域典型场景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kern w:val="0"/>
          <w:sz w:val="32"/>
          <w:szCs w:val="32"/>
          <w:lang w:val="en-US" w:eastAsia="zh-CN" w:bidi="ar"/>
        </w:rPr>
        <w:t>个以上，通过场景牵引有效助力海洋新兴和未来产业培育，促进海洋经济高质量发展。</w:t>
      </w:r>
      <w:r>
        <w:rPr>
          <w:rFonts w:hint="default" w:ascii="Times New Roman" w:hAnsi="Times New Roman" w:eastAsia="楷体_GB2312" w:cs="Times New Roman"/>
          <w:spacing w:val="-6"/>
          <w:kern w:val="2"/>
          <w:sz w:val="32"/>
          <w:szCs w:val="32"/>
          <w:lang w:val="en-US" w:eastAsia="zh-CN" w:bidi="ar"/>
        </w:rPr>
        <w:t>（省海洋经济厅负责）</w:t>
      </w:r>
    </w:p>
    <w:p w14:paraId="3709EBCD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608" w:firstLineChars="200"/>
        <w:jc w:val="both"/>
        <w:outlineLvl w:val="1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（三）培育一批行业智慧监管应用场景</w:t>
      </w:r>
    </w:p>
    <w:p w14:paraId="1387066E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right="0" w:firstLine="632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"/>
        </w:rPr>
        <w:t>14.应急管理。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推进监测预警智能化，深化森林防火、防汛防台、危化安全、矿山安全等场景应用。推进监管执法规范化专业化，打造隐患排查、可燃物智能识别、智能执法辅助等创新场景。推进指挥决策智能化，推动风险研判、应急物资调控等能力向乡镇延伸下沉。加快灾害现场重建、救援智能装备等应急指挥救援场景应用。到2027年，培育10个以上应急管理高价值应用场景，建设一批高质量数据语料集，构建一批应急管理智能体。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（省应急管理厅负责）</w:t>
      </w:r>
    </w:p>
    <w:p w14:paraId="7E5A134C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608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6"/>
          <w:kern w:val="2"/>
          <w:sz w:val="32"/>
          <w:szCs w:val="32"/>
          <w:lang w:val="en-US" w:eastAsia="zh-CN" w:bidi="ar"/>
        </w:rPr>
        <w:t>15.智慧交通。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聚焦交通设施融合感知、行业治理高效协同、运输服务便捷智能三个主攻方向，推进全路网感知能力建设，实现重点路段、桥隧、枢纽的全要素动态感知与风险预警。重点打造港口集疏运大通道、智慧高速AI应用等场景。持续提升港口无人化作业水平，推进港区无人集卡规模化应用，优化无人集卡云路径协调平台，提升无人车、有人车全局协同调度能力。到2027年，力争建成智慧高效、协同联动的交通运输管理与服务体系，形成一批可复制推广的智慧交通应用示范。</w:t>
      </w:r>
      <w:r>
        <w:rPr>
          <w:rFonts w:hint="default" w:ascii="Times New Roman" w:hAnsi="Times New Roman" w:eastAsia="楷体_GB2312" w:cs="Times New Roman"/>
          <w:spacing w:val="-6"/>
          <w:kern w:val="2"/>
          <w:sz w:val="32"/>
          <w:szCs w:val="32"/>
          <w:lang w:val="en-US" w:eastAsia="zh-CN" w:bidi="ar"/>
        </w:rPr>
        <w:t>（省交通运输厅牵头，省国资委按职责分工负责）</w:t>
      </w:r>
    </w:p>
    <w:p w14:paraId="6EBBF707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right="0" w:firstLine="632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"/>
        </w:rPr>
        <w:t>16.智慧水利。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lang w:val="en-US" w:eastAsia="zh-CN" w:bidi="ar"/>
        </w:rPr>
        <w:t>建设预报调度模型和全省水利防汛防台一张图。构建水资源智能管理和调配一体化系统，打造用水预测预警服务场景。强化河湖库智能监管，建立“AI河长”巡河机制。推行水利工程智能巡检，加强运行管理矩阵成果推广。提升农村供水和水土保持监管能力，推动水土保持方案智能审核。到2027年，建成覆盖全省主要流域的数字孪生支撑体系，构建一体化水资源管理体系、河湖库立体空间监测感知网，新开工重大水利工程全面应用“数字工地”。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（省水利厅负责）</w:t>
      </w:r>
    </w:p>
    <w:p w14:paraId="59C1EC25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608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6"/>
          <w:kern w:val="2"/>
          <w:sz w:val="32"/>
          <w:szCs w:val="32"/>
          <w:lang w:val="en-US" w:eastAsia="zh-CN" w:bidi="ar"/>
        </w:rPr>
        <w:t>17.施工安全</w:t>
      </w:r>
      <w:r>
        <w:rPr>
          <w:rFonts w:hint="default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"/>
        </w:rPr>
        <w:t>。建设房屋市政工程安全隐患动态识别和智能处置平台，试点推广智能巡检、AI嵌入式执法记录仪等创新应用场景。推进交通工程重大项目隐患识别“AI智能算法”“安全人工智能体”研发，建设监督检查、风险管控、隐患排查等应用场景。到2027年，在30个以上的房屋市政工程项目试点应用隐患识别算法，在50个以上项目试点推广智能巡检设备。打造“浙路品质”安全监管平台2.0版，开发隐患识别算法2套以上，覆盖场景15个以上，无人机等人工智能设备布设项目10个以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上。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（省建设厅</w:t>
      </w:r>
      <w:r>
        <w:rPr>
          <w:rFonts w:hint="default" w:ascii="Times New Roman" w:hAnsi="Times New Roman" w:eastAsia="楷体_GB2312" w:cs="Times New Roman"/>
          <w:spacing w:val="-6"/>
          <w:kern w:val="2"/>
          <w:sz w:val="32"/>
          <w:szCs w:val="32"/>
          <w:lang w:val="en-US" w:eastAsia="zh-CN" w:bidi="ar"/>
        </w:rPr>
        <w:t>牵头，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交通运输厅</w:t>
      </w:r>
      <w:r>
        <w:rPr>
          <w:rFonts w:hint="default" w:ascii="Times New Roman" w:hAnsi="Times New Roman" w:eastAsia="楷体_GB2312" w:cs="Times New Roman"/>
          <w:spacing w:val="-6"/>
          <w:kern w:val="2"/>
          <w:sz w:val="32"/>
          <w:szCs w:val="32"/>
          <w:lang w:val="en-US" w:eastAsia="zh-CN" w:bidi="ar"/>
        </w:rPr>
        <w:t>、省国资委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按职责分工负责）</w:t>
      </w:r>
    </w:p>
    <w:p w14:paraId="1B6939A2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608" w:firstLineChars="200"/>
        <w:jc w:val="both"/>
        <w:outlineLvl w:val="1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（四）培育一批高效社会治理应用场景</w:t>
      </w:r>
    </w:p>
    <w:p w14:paraId="6C2DB7B2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right="0" w:rightChars="0" w:firstLine="632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yellow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"/>
        </w:rPr>
        <w:t>18.政务服务。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pacing w:val="0"/>
          <w:kern w:val="0"/>
          <w:sz w:val="32"/>
          <w:szCs w:val="32"/>
          <w:lang w:val="en-US" w:eastAsia="zh-CN" w:bidi="ar"/>
        </w:rPr>
        <w:t>加快推动全省统一政务智能问答服务，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pacing w:val="0"/>
          <w:kern w:val="0"/>
          <w:sz w:val="32"/>
          <w:szCs w:val="32"/>
          <w:lang w:val="en-US" w:eastAsia="zh-CN" w:bidi="ar"/>
        </w:rPr>
        <w:t>运用AI技术建设企业精准科技攻关、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pacing w:val="0"/>
          <w:kern w:val="0"/>
          <w:sz w:val="32"/>
          <w:szCs w:val="32"/>
          <w:lang w:val="en-US" w:eastAsia="zh-CN" w:bidi="ar"/>
        </w:rPr>
        <w:t>辅助生成环评报告、智能审核大件运输资质、智慧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pacing w:val="0"/>
          <w:kern w:val="0"/>
          <w:sz w:val="32"/>
          <w:szCs w:val="32"/>
          <w:lang w:val="en-US" w:eastAsia="zh-CN" w:bidi="ar"/>
        </w:rPr>
        <w:t>招投标、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pacing w:val="0"/>
          <w:kern w:val="0"/>
          <w:sz w:val="32"/>
          <w:szCs w:val="32"/>
          <w:lang w:val="en-US" w:eastAsia="zh-CN" w:bidi="ar"/>
        </w:rPr>
        <w:t>智能识别网络餐饮后厨风险、智能辅助劳动仲裁等场景。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建设行政机关合同审查智能体、行政复议案件登记与受理审查智能体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pacing w:val="0"/>
          <w:kern w:val="0"/>
          <w:sz w:val="32"/>
          <w:szCs w:val="32"/>
          <w:lang w:val="en-US" w:eastAsia="zh-CN" w:bidi="ar"/>
        </w:rPr>
        <w:t>。到2027年，建成30个以上具有显著业务成效的“人工智能+政务”场景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（省数据局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牵头，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省信访局、省科技厅、省生态环境厅、省发展改革委、省交通运输厅、省市场监管局、省司法厅、省人力社保厅按职责分工负责）</w:t>
      </w:r>
    </w:p>
    <w:p w14:paraId="7055A193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608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6"/>
          <w:kern w:val="2"/>
          <w:sz w:val="32"/>
          <w:szCs w:val="32"/>
          <w:lang w:val="en-US" w:eastAsia="zh-CN" w:bidi="ar"/>
        </w:rPr>
        <w:t>19.智慧城市。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kern w:val="0"/>
          <w:sz w:val="32"/>
          <w:szCs w:val="32"/>
          <w:lang w:val="en-US" w:eastAsia="zh-CN" w:bidi="ar"/>
        </w:rPr>
        <w:t>推广智能物业客服、机器人巡逻、电子围栏等设备应用。建立供水、供气市政设施数据库，打造城市管理预警分析场景。迭代升级“浙里建造”场景，探索预制构件质量监管应用场景。打造“市容监管”“环卫保洁”等城市治理智能应用场景。支持杭州市依托城市大脑发掘推荐一批数智产品。支持温州市开展城市可信数据空间试点。到2027年，城市治理场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171A1D"/>
          <w:spacing w:val="0"/>
          <w:kern w:val="0"/>
          <w:sz w:val="32"/>
          <w:szCs w:val="32"/>
          <w:lang w:val="en-US" w:eastAsia="zh-CN" w:bidi="ar"/>
        </w:rPr>
        <w:t>智能识别应用与市容问题识别覆盖不低于97%的市县，无人环卫试点县（市、区）不少于20个。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（省数据局</w:t>
      </w:r>
      <w:r>
        <w:rPr>
          <w:rFonts w:hint="default" w:ascii="Times New Roman" w:hAnsi="Times New Roman" w:eastAsia="楷体_GB2312" w:cs="Times New Roman"/>
          <w:spacing w:val="-6"/>
          <w:kern w:val="2"/>
          <w:sz w:val="32"/>
          <w:szCs w:val="32"/>
          <w:lang w:val="en-US" w:eastAsia="zh-CN" w:bidi="ar"/>
        </w:rPr>
        <w:t>牵头，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省建设厅</w:t>
      </w:r>
      <w:r>
        <w:rPr>
          <w:rFonts w:hint="eastAsia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" w:bidi="ar"/>
        </w:rPr>
        <w:t>、</w:t>
      </w:r>
      <w:r>
        <w:rPr>
          <w:rFonts w:hint="default" w:ascii="Times New Roman" w:hAnsi="Times New Roman" w:eastAsia="楷体_GB2312" w:cs="Times New Roman"/>
          <w:spacing w:val="-6"/>
          <w:kern w:val="2"/>
          <w:sz w:val="32"/>
          <w:szCs w:val="32"/>
          <w:lang w:val="en-US" w:eastAsia="zh-CN" w:bidi="ar"/>
        </w:rPr>
        <w:t>省国资委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按职责分工负责）</w:t>
      </w:r>
    </w:p>
    <w:p w14:paraId="732D4FAF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right="0" w:rightChars="0" w:firstLine="632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"/>
        </w:rPr>
        <w:t>20.和美乡村。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推进乡村片区组团发展，支持组团片区交通、物流等基础设施和“20分钟便民服务生活圈”建设。加快培育休闲露营、农事体验、康养疗愈等新产业新业态，探索发展众筹农业、共享农庄、数字游民社区等新模式。依托“浙农经管2.0”，建立乡村资源资产数据库，构建村集体资产一码管理机制，探索推进农村产权交易数据全省集成。到2027年，累计建设省级重点村组团片区400个，辐射带动2000个以上周边村协同发展。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（省农业农村厅负责）</w:t>
      </w:r>
    </w:p>
    <w:p w14:paraId="4B923261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608" w:firstLineChars="200"/>
        <w:jc w:val="both"/>
        <w:outlineLvl w:val="1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（五）培育一批普惠民生服务应用场景</w:t>
      </w:r>
    </w:p>
    <w:p w14:paraId="6196947B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right="0" w:rightChars="0" w:firstLine="632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"/>
        </w:rPr>
        <w:t>21.智慧医疗。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迭代安诊儿医疗智能体3.0，推进在全省医疗机构应用，强化各类数据多模态识别和人机交互能力，提升健康咨询、就医陪诊、名医孪生、报告解读等居民端智能化服务。完善医疗数据采集、标注标准体系，推进医疗数据基础设施建设。依托杭州极弱磁场国家重大科技基础设施，系统推进“量子+医疗”融合创新。到2027年，安诊儿医疗智能体应用场景达到60项，名医智能体达到120个，累计服务量达到2.4亿人次，开放重大疾病数据集10类以上。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（省卫生健康委负责，省国资委按职责分工负责）</w:t>
      </w:r>
    </w:p>
    <w:p w14:paraId="4E3D0240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right="0" w:rightChars="0" w:firstLine="632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"/>
        </w:rPr>
        <w:t>22.养老助残托育。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迭代“浙里康养”，推广“一床一码”智能终端，</w:t>
      </w:r>
      <w:r>
        <w:rPr>
          <w:rFonts w:hint="default" w:ascii="Times New Roman" w:hAnsi="Times New Roman" w:eastAsia="华文仿宋" w:cs="Times New Roman"/>
          <w:spacing w:val="0"/>
          <w:kern w:val="0"/>
          <w:sz w:val="32"/>
          <w:szCs w:val="32"/>
          <w:lang w:val="en-US" w:eastAsia="zh-CN" w:bidi="ar"/>
        </w:rPr>
        <w:t>集约化建设县级综合养老服务管理平台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，优化智能看护、健康监测、风险预警、情感陪伴等场景，发展银发电商平台。在脑（脊）机接口、视觉或听觉重建、人造器官组织等关键领域，引导企业助残研发，建设科技辅具体验平台。推进省市县三级标准化托育综合服务中心场景建设。到2027年，</w:t>
      </w:r>
      <w:r>
        <w:rPr>
          <w:rFonts w:hint="eastAsia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加快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建设智慧养老银发经济产业园，智能体养老机构应用率超过20%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全省残疾人辅具适配率达到80‰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打造标准化托育综合服务中心场景40个。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（省民政厅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牵头，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省卫生健康委、省国资委、省残联按职责分工负责）</w:t>
      </w:r>
    </w:p>
    <w:p w14:paraId="2AC54DA7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right="0" w:rightChars="0" w:firstLine="632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"/>
        </w:rPr>
        <w:t>23.文化和旅游。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推进国家人工智能应用中试基地（消费领域文化旅游方向）平台建设，推动算力等共性支撑能力建设。推进人工智能技术在传播、旅游、影视、文化遗产保护等领域落地应用，整合大语言模型、多模态数据及多角色交互技术，构建覆盖景区、博物馆等场景沉浸式体验服务体系。争取国家开放入境申报系统、离境退税无纸化系统接口，打造入境文旅全链条智慧服务场景。优化非遗数据采集精度，推动非遗技艺数字化保护与IP化运营。到2027年，打造文化领域应用场景20个，带动入境旅游消费增长20%。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（省委宣传部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牵头，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省文化广电和旅游厅按职责分工负责）</w:t>
      </w:r>
    </w:p>
    <w:p w14:paraId="6D8B391F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50" w:lineRule="exact"/>
        <w:ind w:left="0" w:right="0" w:rightChars="0" w:firstLine="632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"/>
        </w:rPr>
        <w:t>24.跨界融合消费。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加强商业、文化、旅游、体育、健康、交通等跨界融合，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培育</w:t>
      </w:r>
      <w:r>
        <w:rPr>
          <w:rFonts w:hint="default" w:ascii="Times New Roman" w:hAnsi="Times New Roman" w:eastAsia="楷体_GB2312" w:cs="Times New Roman"/>
          <w:spacing w:val="0"/>
          <w:kern w:val="0"/>
          <w:sz w:val="32"/>
          <w:szCs w:val="32"/>
          <w:lang w:val="en-US" w:eastAsia="zh-CN" w:bidi="ar"/>
        </w:rPr>
        <w:t>VR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虚拟现实、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无人零售终端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等技术融合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消费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场景。加大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“三新”消费试点城市新场景培育力度。推进人工智能技术在电商领域营销、设计、供应链等环节的应用。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强化历史经典产业融合发展，打造“历史经典+IP”“历史经典+文旅”“历史经典+生活”消费新场景。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到2027年，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争取创建全国示范步行街（商圈）4条（个）以上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，创建省级示范跨界融合消费场景50个以上，建设15分钟便民生活圈1500个以上。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（省商务厅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牵头，省发展改革委、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省经信厅、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省文化广电和旅游厅、省国资委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按职责分工负责）</w:t>
      </w:r>
    </w:p>
    <w:p w14:paraId="599E88F1"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50" w:lineRule="exact"/>
        <w:ind w:left="0" w:leftChars="0" w:right="0" w:rightChars="0" w:firstLine="608" w:firstLineChars="200"/>
        <w:jc w:val="both"/>
        <w:outlineLvl w:val="0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三、明确场景开放应用流程</w:t>
      </w:r>
    </w:p>
    <w:p w14:paraId="0555BF16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50" w:lineRule="exact"/>
        <w:ind w:left="0" w:right="0" w:firstLine="632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（一）场景征集建库。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各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地各部门及国有企业围绕“524X”场景体系，结合行业发展需求和各地特色，建立常态化场景征集、培育机制，通过社会公开征集、系统内部培育等方式，形成场景需求清单、场景能力清单，定期纳入所在市县场景库，并推送至省级场景库。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（各级发展改革部门牵头，各级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行业主管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部门、各级国资监管机构按职责分工负责）</w:t>
      </w:r>
    </w:p>
    <w:p w14:paraId="005ABD8F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50" w:lineRule="exact"/>
        <w:ind w:left="0" w:right="0" w:firstLine="632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（二）场景发布对接。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建立省级场景指导中心，搭建全省统一的场景供需对接平台，完善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“需求发起－对接办理－申诉协调－结果反馈”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服务闭环。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省－市－县三级定期发布场景需求清单、场景能力清单。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各地各部门负责组织场景沙龙、供需见面会、项目路演、行业专题对接会、场景创新大赛等线上线下活动，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鼓励通过成立场景中心、场景公司、组建创新联合体、依托赛事及大会等方式，推动场景供需匹配。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各级发展改革部门牵头，各级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行业主管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部门、各级国资监管机构按职责分工负责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）</w:t>
      </w:r>
    </w:p>
    <w:p w14:paraId="7912EE5C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right="0" w:firstLine="632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（三）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场景组织实施。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健全公平竞争制度，完善场景资源市场化配置规则，鼓励支持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各类主体公平参与场景建设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。场景项目通过招投标、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揭榜挂帅、综合比选、信用承诺等方式推动实施。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场景供应方做好场景实施的效益评估和迭代优化。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各级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发展改革</w:t>
      </w:r>
      <w:r>
        <w:rPr>
          <w:rFonts w:hint="eastAsia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部门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会同</w:t>
      </w:r>
      <w:r>
        <w:rPr>
          <w:rFonts w:hint="eastAsia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经信、科技、国资等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部门组织申报国家层面标志性重大场景项目和高价值应用场景项目。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各级发展改革部门牵头，各级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行业主管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部门、各级国资监管机构按职责分工负责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）</w:t>
      </w:r>
    </w:p>
    <w:p w14:paraId="7882E7DB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608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（四）场景示范推广。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省发展改革委会同各地各部门，定期总结场景创新成果，提炼可复制的操作规范、运营机制及制度创新经验，发布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kern w:val="0"/>
          <w:sz w:val="32"/>
          <w:szCs w:val="32"/>
          <w:lang w:val="en-US" w:eastAsia="zh-CN" w:bidi="ar"/>
        </w:rPr>
        <w:t>典型场景清单并报送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国家部委。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（各级发展改革部门牵头，各级</w:t>
      </w:r>
      <w:r>
        <w:rPr>
          <w:rFonts w:hint="default" w:ascii="Times New Roman" w:hAnsi="Times New Roman" w:eastAsia="楷体_GB2312" w:cs="Times New Roman"/>
          <w:spacing w:val="-6"/>
          <w:kern w:val="2"/>
          <w:sz w:val="32"/>
          <w:szCs w:val="32"/>
          <w:lang w:val="en-US" w:eastAsia="zh-CN" w:bidi="ar"/>
        </w:rPr>
        <w:t>行业主管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部门、各级国资监管机构按职责分工负责）</w:t>
      </w:r>
    </w:p>
    <w:p w14:paraId="6428959A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leftChars="0" w:right="0" w:rightChars="0" w:firstLine="632" w:firstLineChars="200"/>
        <w:jc w:val="both"/>
        <w:outlineLvl w:val="0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四、加大政策和要素支持</w:t>
      </w:r>
    </w:p>
    <w:p w14:paraId="37DB2142"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right="0" w:firstLine="608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（一）加强政策支持。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编制各类规划要与场景培育和开放相结合，实现场景建设与重大战略、重点项目同步谋划、同步实施。项目审批部门对重点场景项目的立项和运营工作给予支持。发挥政府采购支持作用，强化场景培育和开放与首台（套）装备、首批次材料、首版次软件等各类创新支持政策的协同衔接。建立“中试基地+场景应用”的联动机制，支持将场景作为新技术、新产品、新模式、新制度的实证基地，通过真实环境测试加速技术、制度迭代。支持龙头企业牵头组建“链主企业+中小企业+科研院所”模式的场景创新联合体。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（省发展改革委、省财政厅、省经信厅、省数据局按职责分工负责）</w:t>
      </w:r>
    </w:p>
    <w:p w14:paraId="27972EAD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608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（二）强化要素保障。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kern w:val="0"/>
          <w:sz w:val="32"/>
          <w:szCs w:val="32"/>
          <w:lang w:val="en-US" w:eastAsia="zh-CN" w:bidi="ar"/>
        </w:rPr>
        <w:t>推进“准入、场景、要素”一体化改革，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通过场景开放提升要素市场化配置水平。组建省级场景创新专家库，鼓励各类智库机构和中介组织参与场景的咨询、评估和实施工作。支持符合条件的项目优先申报省重大产业项目并给予用地指标奖励。鼓励支持各地设立相应的场景创新基金，建立“政府领投+国资跟投+社会资本参与”投资机制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pacing w:val="-6"/>
          <w:kern w:val="0"/>
          <w:sz w:val="32"/>
          <w:szCs w:val="32"/>
          <w:lang w:val="en-US" w:eastAsia="zh-CN" w:bidi="ar"/>
        </w:rPr>
        <w:t>发挥央行结构性货币政策工具作用，鼓励创新金融产品服务，支持符合条件企业发债融资。</w:t>
      </w:r>
      <w:r>
        <w:rPr>
          <w:rFonts w:hint="default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"/>
        </w:rPr>
        <w:t>有序推进公共数据资源和社会数据高效融合利用，加快建设一批行业高质量数据集，赋能各行业各领域场景应用建设。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pacing w:val="-6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省委金融办、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000000"/>
          <w:spacing w:val="-6"/>
          <w:kern w:val="2"/>
          <w:sz w:val="32"/>
          <w:szCs w:val="32"/>
          <w:lang w:val="en-US" w:eastAsia="zh-CN" w:bidi="ar"/>
        </w:rPr>
        <w:t>省发展改革委、省自然资源厅、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省数据局、</w:t>
      </w:r>
      <w:r>
        <w:rPr>
          <w:rFonts w:hint="default" w:ascii="Times New Roman" w:hAnsi="Times New Roman" w:eastAsia="楷体_GB2312" w:cs="Times New Roman"/>
          <w:spacing w:val="-6"/>
          <w:kern w:val="2"/>
          <w:sz w:val="32"/>
          <w:szCs w:val="32"/>
          <w:lang w:val="en-US" w:eastAsia="zh-CN" w:bidi="ar"/>
        </w:rPr>
        <w:t>人行浙江省分行、浙江金融监管局、浙江证监局按职责分工负责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pacing w:val="-6"/>
          <w:kern w:val="0"/>
          <w:sz w:val="32"/>
          <w:szCs w:val="32"/>
          <w:lang w:val="en-US" w:eastAsia="zh-CN" w:bidi="ar"/>
        </w:rPr>
        <w:t>）</w:t>
      </w:r>
    </w:p>
    <w:p w14:paraId="16FE5D04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leftChars="0" w:right="0" w:rightChars="0" w:firstLine="632" w:firstLineChars="200"/>
        <w:jc w:val="both"/>
        <w:outlineLvl w:val="0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五、加强组织保障</w:t>
      </w:r>
    </w:p>
    <w:p w14:paraId="595F50C6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608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（一）加强组织领导。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省发展改革委负责统筹协调和指导，推进场景培育和开放，建立问题协调、经验推广等推进机制，对接国家发展改革委，争取国家重大场景项目支持。省级行业主管部门制定完善场景培育开放的标准规范、安全守则和伦理指南，统筹跨区域综合性场景建设，指导地方落实相关场景项目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推动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171A1D"/>
          <w:spacing w:val="0"/>
          <w:kern w:val="0"/>
          <w:sz w:val="32"/>
          <w:szCs w:val="32"/>
          <w:lang w:val="en-US" w:eastAsia="zh-CN" w:bidi="ar"/>
        </w:rPr>
        <w:t>在浙央企和国企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加快场景建设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。各</w:t>
      </w:r>
      <w:r>
        <w:rPr>
          <w:rFonts w:hint="eastAsia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设区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市、县（市、区）负责本地特色场景建设。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（省发展改革委、各级行业主管部门按职责分工负责）</w:t>
      </w:r>
    </w:p>
    <w:p w14:paraId="2BDA674E"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right="0" w:firstLine="608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（二）完善工作机制。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kern w:val="0"/>
          <w:sz w:val="32"/>
          <w:szCs w:val="32"/>
          <w:lang w:val="en-US" w:eastAsia="zh-CN" w:bidi="ar"/>
        </w:rPr>
        <w:t>建立企业诉求“分层分类分级”协调机制，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实行需求和问题分类移交、限时回应、闭环管理。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kern w:val="0"/>
          <w:sz w:val="32"/>
          <w:szCs w:val="32"/>
          <w:lang w:val="en-US" w:eastAsia="zh-CN" w:bidi="ar"/>
        </w:rPr>
        <w:t>实行审慎包容监管，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 w:bidi="ar"/>
        </w:rPr>
        <w:t>探索推行沙盒监管、触发式监管等柔性管理模式，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形成可复制推广的监管经验。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pacing w:val="-6"/>
          <w:kern w:val="2"/>
          <w:sz w:val="32"/>
          <w:szCs w:val="32"/>
          <w:lang w:val="en-US" w:eastAsia="zh-CN" w:bidi="ar"/>
        </w:rPr>
        <w:t>在场景创新过程中，对符合浙江省激励干部担当作为实施办法相关情形的，按规定视情采取不予、免予追究责任或者从轻、减轻责任等方式处理。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国标楷体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省纪委省监委、省委组织部、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kern w:val="2"/>
          <w:sz w:val="32"/>
          <w:szCs w:val="32"/>
          <w:lang w:val="en-US" w:eastAsia="zh-CN" w:bidi="ar"/>
        </w:rPr>
        <w:t>省发展改革委、各级行业主管部门按职责分工负责）</w:t>
      </w:r>
    </w:p>
    <w:p w14:paraId="0DA93E07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leftChars="0" w:right="0" w:rightChars="0" w:firstLine="632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（三）营造良好氛围。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各地各部门和国有企业要及时梳理总结场景创新成果。媒体单位要积极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对场景创新政策、典型场景、标杆企业进行立体化宣传，营造良好的社会氛围。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（省委宣传部、浙江日报报业集团、浙江广电集团、</w:t>
      </w:r>
      <w:r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"/>
        </w:rPr>
        <w:t>各级行业主管部门、各级国资委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kern w:val="2"/>
          <w:sz w:val="32"/>
          <w:szCs w:val="32"/>
          <w:lang w:val="en-US" w:eastAsia="zh-CN" w:bidi="ar"/>
        </w:rPr>
        <w:t>）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</w:t>
      </w:r>
    </w:p>
    <w:p w14:paraId="36E6598D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leftChars="0" w:right="0" w:rightChars="0" w:firstLine="632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</w:p>
    <w:p w14:paraId="7DD40F4B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leftChars="0" w:right="0" w:rightChars="0" w:firstLine="632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附：1.重点领域应用场景建设工作指标表</w:t>
      </w:r>
    </w:p>
    <w:p w14:paraId="4F1A003D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leftChars="0" w:right="0" w:rightChars="0" w:firstLine="1264" w:firstLineChars="400"/>
        <w:jc w:val="both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2.场景建设任务分解表</w:t>
      </w:r>
    </w:p>
    <w:p w14:paraId="1F18926E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leftChars="0" w:right="0" w:rightChars="0" w:firstLine="1264" w:firstLineChars="400"/>
        <w:jc w:val="both"/>
        <w:rPr>
          <w:rFonts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3.场景培育和开放工作流程</w:t>
      </w:r>
    </w:p>
    <w:p w14:paraId="07B9C15A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right="0" w:rightChars="0"/>
        <w:jc w:val="left"/>
        <w:outlineLvl w:val="1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"/>
        </w:rPr>
        <w:br w:type="page"/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"/>
        </w:rPr>
        <w:t>附1</w:t>
      </w:r>
    </w:p>
    <w:p w14:paraId="524FB11E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right="0" w:rightChars="0"/>
        <w:jc w:val="center"/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0"/>
          <w:szCs w:val="40"/>
          <w:lang w:val="en-US" w:eastAsia="zh-CN" w:bidi="ar"/>
        </w:rPr>
      </w:pPr>
    </w:p>
    <w:p w14:paraId="655B3AD8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right="0" w:rightChars="0"/>
        <w:jc w:val="center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lang w:val="en-US" w:eastAsia="zh-CN" w:bidi="ar"/>
        </w:rPr>
        <w:t>重点领域应用场景建设工作指标表</w:t>
      </w:r>
    </w:p>
    <w:tbl>
      <w:tblPr>
        <w:tblStyle w:val="14"/>
        <w:tblW w:w="90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1501"/>
        <w:gridCol w:w="3885"/>
        <w:gridCol w:w="1425"/>
        <w:gridCol w:w="1659"/>
      </w:tblGrid>
      <w:tr w14:paraId="241CA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3CDF2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8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5DA5E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场景领域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E04F9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工作指标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C287E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2027年</w:t>
            </w:r>
          </w:p>
          <w:p w14:paraId="0D7F2656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目标值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83144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责任单位</w:t>
            </w:r>
          </w:p>
        </w:tc>
      </w:tr>
      <w:tr w14:paraId="4B8A9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A6B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2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A2273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总体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B6C86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每年开放新场景数量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72F94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150个以上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89DBE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各行业主管部门、各设区市</w:t>
            </w:r>
          </w:p>
        </w:tc>
      </w:tr>
      <w:tr w14:paraId="2AB5F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93D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D5A62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B4973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在浙央企、国企和链主型企业每年开放主业领域场景数量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29628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100个以上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1B933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省国资委</w:t>
            </w:r>
          </w:p>
        </w:tc>
      </w:tr>
      <w:tr w14:paraId="47695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017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7F2AD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3A273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每年打造综合性重大场景数量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A65B3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10个以上</w:t>
            </w:r>
          </w:p>
        </w:tc>
        <w:tc>
          <w:tcPr>
            <w:tcW w:w="914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80E31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各行业主管部门、各设区市</w:t>
            </w:r>
          </w:p>
        </w:tc>
      </w:tr>
      <w:tr w14:paraId="7ED13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64D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6F83E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C34E3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每年打造高价值小切口场景数量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FB1D9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200个以上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5E9DD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EDB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2A8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A8751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DD231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每年培育场景创新标杆企业数量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18316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100家以上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34F7D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68E0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0D3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C9093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29DC0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每年打造地方特色场景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62BCA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30个以上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D7FAD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各设区市</w:t>
            </w:r>
          </w:p>
        </w:tc>
      </w:tr>
      <w:tr w14:paraId="1293C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802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5D90E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120C7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每年打造行业领域集成式场景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79CAA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50个以上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5D010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各行业主管部门</w:t>
            </w:r>
          </w:p>
        </w:tc>
      </w:tr>
      <w:tr w14:paraId="3B86B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FCD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82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BA1BA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人工智能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27890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打造“人工智能+”典型应用场景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6153B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300个以上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4DC2D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</w:t>
            </w:r>
          </w:p>
        </w:tc>
      </w:tr>
      <w:tr w14:paraId="3CDDC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139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3041E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89DF5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国企滚动开放“人工智能+”应用场景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3358D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60个以上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94373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省国资委</w:t>
            </w:r>
          </w:p>
        </w:tc>
      </w:tr>
      <w:tr w14:paraId="53B7D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662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82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B13D7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人形机器人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45544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建成人形机器人训练场和示范应用产线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6EEEB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10个</w:t>
            </w:r>
          </w:p>
        </w:tc>
        <w:tc>
          <w:tcPr>
            <w:tcW w:w="914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59C13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</w:t>
            </w:r>
          </w:p>
        </w:tc>
      </w:tr>
      <w:tr w14:paraId="0A2FE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293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88A30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FE272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培育“人形机器人+”示范应用场景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01E04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30个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07D50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C6B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1C0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0995B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83779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带动整机年产量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19925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突破2万台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24500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BB61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911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8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ED056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量子科技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BA76A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培育量子科技高价值场景，以示范应用带动量子产业实现商业化规模化发展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688EF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10个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CB70D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省密码管理局、省经信厅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省科技厅、省卫生健康委、省海洋经济厅</w:t>
            </w:r>
          </w:p>
        </w:tc>
      </w:tr>
      <w:tr w14:paraId="23342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A91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8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A0D72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脑机接口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FE9F9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培育脑机接口高价值应用场景，推动进入临床应用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BE4B1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10个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C624E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省卫生健康委、省国资委、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省科技厅、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省药监局、省医保局、省残联</w:t>
            </w:r>
          </w:p>
        </w:tc>
      </w:tr>
      <w:tr w14:paraId="085ED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9FA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82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3DF2B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全空间无人体系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42EDB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全省低空典型场景案例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7D228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20个</w:t>
            </w:r>
          </w:p>
        </w:tc>
        <w:tc>
          <w:tcPr>
            <w:tcW w:w="914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A7674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省交通运输厅</w:t>
            </w:r>
          </w:p>
        </w:tc>
      </w:tr>
      <w:tr w14:paraId="3AA81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914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C77B3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C56FD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形成全国领先商业新模式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30ED8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5个以上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1A1C8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AD6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5EB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82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A9B8D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生物技术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E77AB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打造千亿级重点产业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DF1CA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生物医药1个</w:t>
            </w:r>
          </w:p>
        </w:tc>
        <w:tc>
          <w:tcPr>
            <w:tcW w:w="914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01364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</w:t>
            </w:r>
          </w:p>
        </w:tc>
      </w:tr>
      <w:tr w14:paraId="7B85B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5D7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B1830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BFB7D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培育百亿级龙头企业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51109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5家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5542A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C28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38C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EF0B6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E35D8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培育具有全国影响力的生物AI大模型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626BA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5个以上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10342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5764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355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DB732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3B6E9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打造成为具有全球竞争力的生物科技创新高地、生物制造产业集聚高地、“生物+AI”融合应用高地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00FF1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三大高地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1A464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0805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E9F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8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BF5C4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氢能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69A053C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燃料电池汽车保有量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5777F3B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1200辆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19539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</w:t>
            </w:r>
          </w:p>
        </w:tc>
      </w:tr>
      <w:tr w14:paraId="009EE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286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8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23ACC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新一代通信网络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8DFA1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培育5G/5G-A、智算云、北斗、卫星直连等应用场景，加速新一代通信网络产业化应用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65260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50个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3F9F8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</w:t>
            </w:r>
          </w:p>
        </w:tc>
      </w:tr>
      <w:tr w14:paraId="01111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171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82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836B1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数智转型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81CAC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培育未来工厂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DB400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150家左右</w:t>
            </w:r>
          </w:p>
        </w:tc>
        <w:tc>
          <w:tcPr>
            <w:tcW w:w="914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9BF65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</w:t>
            </w:r>
          </w:p>
        </w:tc>
      </w:tr>
      <w:tr w14:paraId="0AB42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B91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44898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E3D8C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每年新增省级工业设计中心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B8FA0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50家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5689E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551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F42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5B64B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4D880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建成高标准数字园区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44591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10个左右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E34EC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</w:t>
            </w:r>
          </w:p>
        </w:tc>
      </w:tr>
      <w:tr w14:paraId="0220D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852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82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B68D2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节能降碳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F87E1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清洁能源装机占比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14843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50%以上</w:t>
            </w:r>
          </w:p>
        </w:tc>
        <w:tc>
          <w:tcPr>
            <w:tcW w:w="914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2041D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省能源局</w:t>
            </w:r>
          </w:p>
        </w:tc>
      </w:tr>
      <w:tr w14:paraId="0FFA3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84C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A4F28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1DF7E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新增充电桩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C36AE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4万个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7814B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67B7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7F5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82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B0C61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智慧物流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77439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全省新增（近）零碳物流园区，全省新增物流园区基本实现智慧仓储场景全覆盖。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A9781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4个以上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5EA45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</w:t>
            </w:r>
          </w:p>
        </w:tc>
      </w:tr>
      <w:tr w14:paraId="4B231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491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0ADC4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75664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“四港”联动云平台用户数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E4914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10万以上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74395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省交通运输厅</w:t>
            </w:r>
          </w:p>
        </w:tc>
      </w:tr>
      <w:tr w14:paraId="10896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3BB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82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C2A99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现代农业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4EF22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建设种业振兴基地（平台）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27DA9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60个以上</w:t>
            </w:r>
          </w:p>
        </w:tc>
        <w:tc>
          <w:tcPr>
            <w:tcW w:w="914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7C7E5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省农业农村厅</w:t>
            </w:r>
          </w:p>
        </w:tc>
      </w:tr>
      <w:tr w14:paraId="463E8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8A5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5EC05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D047A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培育数字农业工厂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F241E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700家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FC958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B481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E2D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72136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EBC66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建设数字化农事服务中心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FCA2E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100家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F624A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7D2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3BF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8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426AC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海洋经济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F57BA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培育具有全国影响力的海洋经济领域典型场景，通过场景牵引有效助力海洋新兴和未来产业培育，促进海洋经济高质量发展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09179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10个以上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F73AA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省海洋经济厅</w:t>
            </w:r>
          </w:p>
        </w:tc>
      </w:tr>
      <w:tr w14:paraId="305D8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F2F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8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9C592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应急管理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28FCB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培育应急管理高价值应用场景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C7388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10个以上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80087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省应急管理厅</w:t>
            </w:r>
          </w:p>
        </w:tc>
      </w:tr>
      <w:tr w14:paraId="099DC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D2A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82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C27B8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施工安全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2181A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在房屋市政工程项目试点应用隐患识别算法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10F93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30个以上</w:t>
            </w:r>
          </w:p>
        </w:tc>
        <w:tc>
          <w:tcPr>
            <w:tcW w:w="914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C8B50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省建设厅</w:t>
            </w:r>
          </w:p>
        </w:tc>
      </w:tr>
      <w:tr w14:paraId="7EA10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547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73EE8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84342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在项目试点推广智能巡检设备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01BFA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50个以上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F76D8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E374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84F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E0F14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A01E4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开发隐患识别算法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D2F85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2套以上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5FC3D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CEB9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626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20E9B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3F4B3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隐患识别算法覆盖场景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C3D8A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15个以上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C4CBE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526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6F4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D3A5F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4C069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无人机等人工智能设备布设项目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934A7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10个以上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1CDF9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829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E24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8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2AF3C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政务服务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4B8D6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建成具有显著业务成效的“人工智能+政务”场景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A20EA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30个以上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9757E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省数据局</w:t>
            </w:r>
          </w:p>
        </w:tc>
      </w:tr>
      <w:tr w14:paraId="58A2E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B9A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82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33985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智慧城市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86790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城市治理场景智能识别应用与市容问题识别覆盖市县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A4F0B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97%以上</w:t>
            </w:r>
          </w:p>
        </w:tc>
        <w:tc>
          <w:tcPr>
            <w:tcW w:w="914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ACEA8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省建设厅</w:t>
            </w:r>
          </w:p>
        </w:tc>
      </w:tr>
      <w:tr w14:paraId="678F9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DCC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573EA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32B6F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无人环卫试点县（市、区）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DD38F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20个以上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873B2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03D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257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82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2D5A2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和美乡村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6AF3D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累计建设省级重点村组团片区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34EF1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400个</w:t>
            </w:r>
          </w:p>
        </w:tc>
        <w:tc>
          <w:tcPr>
            <w:tcW w:w="914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BD99A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省农业农村厅</w:t>
            </w:r>
          </w:p>
        </w:tc>
      </w:tr>
      <w:tr w14:paraId="4D518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09C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78758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D541A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辐射带动周边村协同发展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98BDD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2000个以上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69ABC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3A80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C80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82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EF98E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智慧医疗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2237F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安诊儿医疗智能体应用场景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F5123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60项</w:t>
            </w:r>
          </w:p>
        </w:tc>
        <w:tc>
          <w:tcPr>
            <w:tcW w:w="914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F67CF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省卫生健康委</w:t>
            </w:r>
          </w:p>
        </w:tc>
      </w:tr>
      <w:tr w14:paraId="2DBDC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33A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40478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8BDC1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名医智能体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67170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120个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9D729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2C3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914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FC243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62AB1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名医智能体累计服务量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EFB24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2.4亿人次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9FF38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705D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2FF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358D1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77426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开放重大疾病数据集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CD77D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10类以上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5CFF5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4B9F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C0E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82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14BE8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养老助残托育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CDBB5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智能体养老机构应用率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912B4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20%以上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23818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省民政厅</w:t>
            </w:r>
          </w:p>
        </w:tc>
      </w:tr>
      <w:tr w14:paraId="65A3A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003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79C82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519A7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全省残疾人辅具适配率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A5C72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80‰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23829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省残联</w:t>
            </w:r>
          </w:p>
        </w:tc>
      </w:tr>
      <w:tr w14:paraId="171B0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587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46E0B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8ED94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打造标准化托育综合服务中心场景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16ECE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40个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D3CED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省卫生健康委</w:t>
            </w:r>
          </w:p>
        </w:tc>
      </w:tr>
      <w:tr w14:paraId="2F9F3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C9B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82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D8284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文化和旅游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C77DB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打造文化领域应用场景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596B3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20个</w:t>
            </w:r>
          </w:p>
        </w:tc>
        <w:tc>
          <w:tcPr>
            <w:tcW w:w="914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9D848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省委宣传部</w:t>
            </w:r>
          </w:p>
        </w:tc>
      </w:tr>
      <w:tr w14:paraId="64C54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8A2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5131D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03CAD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带动入境旅游消费增长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7049B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20%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A11C0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87B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33B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82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2BF09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跨界融合消费</w:t>
            </w: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2AF55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争取创建全国示范步行街（商圈）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D4738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4条（个）以上</w:t>
            </w:r>
          </w:p>
        </w:tc>
        <w:tc>
          <w:tcPr>
            <w:tcW w:w="914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E0298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省商务厅</w:t>
            </w:r>
          </w:p>
        </w:tc>
      </w:tr>
      <w:tr w14:paraId="566C2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798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36DB2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A9257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建设15分钟便民生活圈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48AEF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1500个以上</w:t>
            </w:r>
          </w:p>
        </w:tc>
        <w:tc>
          <w:tcPr>
            <w:tcW w:w="914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A4A0A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23B6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9EA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8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755D4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5FED7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创建省级示范跨界融合消费场景</w:t>
            </w:r>
          </w:p>
        </w:tc>
        <w:tc>
          <w:tcPr>
            <w:tcW w:w="7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57697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50个以上</w:t>
            </w:r>
          </w:p>
        </w:tc>
        <w:tc>
          <w:tcPr>
            <w:tcW w:w="9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400D5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</w:t>
            </w:r>
          </w:p>
        </w:tc>
      </w:tr>
    </w:tbl>
    <w:p w14:paraId="0AF783E1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00" w:lineRule="exact"/>
        <w:ind w:left="0" w:right="0" w:rightChars="0"/>
        <w:jc w:val="left"/>
        <w:outlineLvl w:val="1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"/>
        </w:rPr>
        <w:br w:type="page"/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"/>
        </w:rPr>
        <w:t>附2</w:t>
      </w:r>
    </w:p>
    <w:p w14:paraId="102E9091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00" w:lineRule="exact"/>
        <w:ind w:left="0" w:right="0" w:rightChars="0"/>
        <w:jc w:val="center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"/>
        </w:rPr>
      </w:pPr>
    </w:p>
    <w:p w14:paraId="132D63D7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00" w:lineRule="exact"/>
        <w:ind w:left="0" w:right="0" w:rightChars="0"/>
        <w:jc w:val="center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"/>
        </w:rPr>
        <w:t>场景建设任务分解表</w:t>
      </w:r>
    </w:p>
    <w:tbl>
      <w:tblPr>
        <w:tblStyle w:val="14"/>
        <w:tblW w:w="90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564"/>
        <w:gridCol w:w="5210"/>
        <w:gridCol w:w="1609"/>
      </w:tblGrid>
      <w:tr w14:paraId="66815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63F17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86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F5478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领域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8A4E9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具体任务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A78BA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责任单位</w:t>
            </w:r>
          </w:p>
        </w:tc>
      </w:tr>
      <w:tr w14:paraId="3283F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3E9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一、培育一批前沿科技创新应用场景</w:t>
            </w:r>
          </w:p>
        </w:tc>
      </w:tr>
      <w:tr w14:paraId="2405F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20C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62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AB6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人工智能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2EB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鼓励支持骨干企业、科研院所联合创新，聚焦世界模型、智能体、数据合成仿真、自主软硬件生态等领域，加大人工智能核心技术攻关。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8D5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省科技厅</w:t>
            </w:r>
          </w:p>
        </w:tc>
      </w:tr>
      <w:tr w14:paraId="3DD89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B6B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9DB85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625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推动“魔搭社区”等开源平台有序开放算法模型库、行业数据集、工具集等核心资源，打造自主可控开源生态。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3CD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、省经信厅</w:t>
            </w:r>
          </w:p>
        </w:tc>
      </w:tr>
      <w:tr w14:paraId="1D150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093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211BC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53F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在工业、科技、医疗、教育、文旅等优势赛道，打造一批“人工智能+”应用场景，支持智能体创新应用，鼓励龙头企业牵头建设智能体开源平台和插件市场，推进智能终端消费产品应用。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F84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省发展改革委、省经信厅、省科技厅、省国资委、各行业主管部门</w:t>
            </w:r>
          </w:p>
        </w:tc>
      </w:tr>
      <w:tr w14:paraId="0FD7B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A03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2BC5D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07A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支持杭州市加快建设“人工智能创新发展第一城”。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E3D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省发展改革委、杭州市人民政府</w:t>
            </w:r>
          </w:p>
        </w:tc>
      </w:tr>
      <w:tr w14:paraId="2361B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DB9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862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C3A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人形机器人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C47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优先推进人形机器人在文旅景点、商超零售、科技馆等场所应用，打造“导览导购”场景。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DD3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省经信厅、省商务厅、省文化广电和旅游厅、省国资委</w:t>
            </w:r>
          </w:p>
        </w:tc>
      </w:tr>
      <w:tr w14:paraId="7BE04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57F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5F4C7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58E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加快推进“进厂打工”，围绕焊接、喷涂、装配、搬运、分捡、包装等环节培育人形机器人应用场景。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7D4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省经信厅、省国资委</w:t>
            </w:r>
          </w:p>
        </w:tc>
      </w:tr>
      <w:tr w14:paraId="70163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798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3E4B9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38B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打造“生活帮手”场景，逐步发展居家清洁、医疗护理、情感陪伴、安全看护等应用，推进快递分拣、外卖末端配送应用。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793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省经信厅、省民政厅</w:t>
            </w:r>
          </w:p>
        </w:tc>
      </w:tr>
      <w:tr w14:paraId="5DE6D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51C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E3CED">
            <w:pPr>
              <w:spacing w:line="3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8F8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打造安全巡逻、交通疏导、应急救援等特种应用场景，有序组织人形机器人“服役上岗”。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233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省经信厅、省公安厅、省交通运输厅、省应急管理厅</w:t>
            </w:r>
          </w:p>
        </w:tc>
      </w:tr>
      <w:tr w14:paraId="6BCA2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234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862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8DA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量子科技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CDA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推进量子通信城市间干线和中心城市城域网等商用网络建设，围绕通信加密、商业密码、数据安全等需求，培育政务、安防、金融、医疗、电力等示范应用场景。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DA8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省密码管理局、省经信厅、省科技厅</w:t>
            </w:r>
          </w:p>
        </w:tc>
      </w:tr>
      <w:tr w14:paraId="617F9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947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51958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3AA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加速量子重力仪、磁力仪、原子钟等标志性产品产业化，推进在航空航天、医疗诊断、海洋探测、地质监测、矿产勘察等领域创新应用。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028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省经信厅、省科技厅、省卫生健康委、省海洋经济厅</w:t>
            </w:r>
          </w:p>
        </w:tc>
      </w:tr>
      <w:tr w14:paraId="7B260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4F3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E988F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56F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持续推动零磁医疗装备示范应用。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93C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省卫生健康委</w:t>
            </w:r>
          </w:p>
        </w:tc>
      </w:tr>
      <w:tr w14:paraId="114CF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18F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68239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54B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推动量子计算与人工智能融合发展，探索在药物研发、金融建模等关键环节应用。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5EE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省经信厅、省科技厅、省卫生健康委</w:t>
            </w:r>
          </w:p>
        </w:tc>
      </w:tr>
      <w:tr w14:paraId="3A0EC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E2C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862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ABE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脑机接口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12C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在医疗康复领域培育运动功能重建、语言障碍沟通、意识障碍评估与神经疾病干预等应用场景，助力运动功能和认知功能恢复，辅助语言功能重建和感官功能改善，服务疾病早期筛查。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90E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省卫生健康委、省国资委、省科技厅、省药监局、省医保局、省残联</w:t>
            </w:r>
          </w:p>
        </w:tc>
      </w:tr>
      <w:tr w14:paraId="7A433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B9D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E0B65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98E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在智能控制与娱乐交互领域，培育智能家居、工业控制、沉浸式游戏、增强现实、消费电子等应用场景，推动脑机接口从实验室走向生活应用。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475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lang w:eastAsia="z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省科技厅</w:t>
            </w:r>
          </w:p>
        </w:tc>
      </w:tr>
      <w:tr w14:paraId="5C514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993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04C7C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ACC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探索在教育和职业健康领域的应用潜力，发展脑力训练、专注力培养、特殊职业人群脑疲劳监测等个性化应用场景。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F85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省卫生健康委、省残联</w:t>
            </w:r>
          </w:p>
        </w:tc>
      </w:tr>
      <w:tr w14:paraId="2B408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20B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862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EE5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全空间无人体系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FA0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开展省低空经济“先飞区”试点，推动“低空+”典型场景在农林作业、电力巡检、工程建设、国土勘测、城市治理、应急救援等领域拓展应用。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CBE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省交通运输厅、省国资委</w:t>
            </w:r>
          </w:p>
        </w:tc>
      </w:tr>
      <w:tr w14:paraId="17C01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0F6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D38C3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310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建设省级低空智能网联系统，推广“一网统飞”低空政务应用模式。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D5E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省发展改革委、省交通运输厅</w:t>
            </w:r>
          </w:p>
        </w:tc>
      </w:tr>
      <w:tr w14:paraId="02CAE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C14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EFEDA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32D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完善低空飞行活动公安联合审核机制，推进低空安全管理平台建设，开展低空安全治理试点。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EA6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省公安厅</w:t>
            </w:r>
          </w:p>
        </w:tc>
      </w:tr>
      <w:tr w14:paraId="7CC05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64D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693C6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1CD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支持杭州、宁波、嘉兴、绍兴等地建设低空经济创新高地。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9AF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省交通运输厅，杭州市、宁波市、嘉兴市、绍兴市人民政府</w:t>
            </w:r>
          </w:p>
        </w:tc>
      </w:tr>
      <w:tr w14:paraId="27E5E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0D1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EDA8F">
            <w:pPr>
              <w:spacing w:line="35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40B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推动无人驾驶车辆示范应用，建立L3智能驾驶试点交通管理细则和政企联动运营机制。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AA0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省发展改革委、省交通运输厅</w:t>
            </w:r>
          </w:p>
        </w:tc>
      </w:tr>
      <w:tr w14:paraId="6A743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B71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3B673">
            <w:pPr>
              <w:spacing w:line="35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B51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深化杭州－桐乡－德清“车路云一体化”试点和德清车联网试点建设。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832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省交通运输厅、省经信厅，杭州市、桐乡市、德清县人民政府</w:t>
            </w:r>
          </w:p>
        </w:tc>
      </w:tr>
      <w:tr w14:paraId="529DF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C6D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862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3E1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生物技术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2E1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加快生物医药、生物化工、生物能源等关键技术突破，培育发展细胞和基因治疗、抗体药物、核药、生物燃料、生物农药、生物基材料替代、天然产物绿色制备等赛道，建设生产供应场景。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889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省发展改革委、省经信厅、省科技厅、省农业农村厅、省能源局、省卫生健康委、省国资委</w:t>
            </w:r>
          </w:p>
        </w:tc>
      </w:tr>
      <w:tr w14:paraId="64FEF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856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9FEB2">
            <w:pPr>
              <w:spacing w:line="35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D9B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推动生物+AI深度融合，构建生物数据库、生物AI大模型等支撑体系。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26F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省发展改革委、省经信厅、省数据局</w:t>
            </w:r>
          </w:p>
        </w:tc>
      </w:tr>
      <w:tr w14:paraId="185C6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060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5D630">
            <w:pPr>
              <w:spacing w:line="35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554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支持杭州打造创新药研发高地、嘉兴打造医用同位素“产学研用”协同创新高地。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972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省发展改革委、省经信厅、省卫生健康委，杭州市、嘉兴市人民政府</w:t>
            </w:r>
          </w:p>
        </w:tc>
      </w:tr>
      <w:tr w14:paraId="4CA30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723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862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3E1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氢能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AD3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建设长三角氢能高速公路和氢走廊，推广港口重卡、冷链物流、公交客运等燃料电池汽车，发展船舶、叉车、两轮车、无人机等氢能交通应用场景。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CE3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省经信厅、省能源局、省交通运输厅</w:t>
            </w:r>
          </w:p>
        </w:tc>
      </w:tr>
      <w:tr w14:paraId="161F7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EBA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AE6A3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130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一体化建设可再生能源制氢项目，规模化制取绿色合成氨和绿色甲醇，推进氢基化工原料替代和氢冶金应用。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28D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省经信厅、省能源局、省建设厅</w:t>
            </w:r>
          </w:p>
        </w:tc>
      </w:tr>
      <w:tr w14:paraId="20DD8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59C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C2DC6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9E2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在工业和民用领域，在保证安全的前提下，探索天然气掺氢燃烧应用场景。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B10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省经信厅、省能源局、省生态环境厅</w:t>
            </w:r>
          </w:p>
        </w:tc>
      </w:tr>
      <w:tr w14:paraId="031B0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65C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862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946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新一代通信网络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446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推进6G原型样机和核心产品研发，持续建设6G公共研发新型试验设施，创新通智融合、星地融合验证能力。</w:t>
            </w:r>
          </w:p>
        </w:tc>
        <w:tc>
          <w:tcPr>
            <w:tcW w:w="886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3BC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省经信厅、省通信管理局、省国资委</w:t>
            </w:r>
          </w:p>
        </w:tc>
      </w:tr>
      <w:tr w14:paraId="112B2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AE6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37E5C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B18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加强5G-A与人工智能在重点行业领域的融合应用。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AD77B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799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31D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E9F3A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589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推进智算云服务试点，建设智算云应用场景。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1D522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525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28B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F6EB7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DDA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加快北斗与惯性导航、高精度视觉等技术融合创新，促进北斗在智慧城市、智能交通、智慧物流、智慧海洋等新场景深度融合应用。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5F02A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01CC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D16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2FE01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F71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探索推进卫星通信与工业互联网、车联网、航空机载通信、低空智联网等新一代信息基础设施交叉融合，推动汽车、船舶、飞机等直连卫星。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5F0A9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0815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182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二、培育一批产业转型升级应用场景</w:t>
            </w:r>
          </w:p>
        </w:tc>
      </w:tr>
      <w:tr w14:paraId="40639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2A0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862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9BC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数智转型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200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围绕AI原生应用迭代建设未来工厂，搭建“大模型+小模型”的工业智能体系，打造数字化设计、智能化生产、模型化发展、智慧供应链等应用场景。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253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省经信厅、省国资委</w:t>
            </w:r>
          </w:p>
        </w:tc>
      </w:tr>
      <w:tr w14:paraId="3BB17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98B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AFA4F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280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面向中小企业体系化部署智能制造装备、工业软件和系统，提升数字化智能化水平。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9C1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</w:t>
            </w:r>
          </w:p>
        </w:tc>
      </w:tr>
      <w:tr w14:paraId="4D760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1DE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F1FC2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B7E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推动工业互联网与人工智能融合应用，探索“平台+智能体”等新模式，加快工业互联网在生产调度、质量追溯、预测性维护、供应链协同等场景的应用。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2B2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</w:t>
            </w:r>
          </w:p>
        </w:tc>
      </w:tr>
      <w:tr w14:paraId="6394E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60E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86A85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B5C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建设高标准数字园区，通过物联网（IoT）、大数据分析实现柔性生产。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56B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</w:t>
            </w:r>
          </w:p>
        </w:tc>
      </w:tr>
      <w:tr w14:paraId="42A2A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1D8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95310">
            <w:pPr>
              <w:spacing w:line="3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C8F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推动设计与制造业、AI深度融合，打造垂类模型。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DC7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7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发展改革委、省经信厅</w:t>
            </w:r>
          </w:p>
        </w:tc>
      </w:tr>
      <w:tr w14:paraId="30404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2FF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102A6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04F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支持宁波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创建国家新型工业化示范区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8DE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省经信厅、省发展改革委、宁波市人民政府</w:t>
            </w:r>
          </w:p>
        </w:tc>
      </w:tr>
      <w:tr w14:paraId="0FB48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CA7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862" w:type="pct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10E50C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节能降碳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764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推进绿色工厂、零碳（近零碳）工厂培育建设，试点打造低碳园区、零碳园区。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4B7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省经信厅、省发展改革委、省国资委</w:t>
            </w:r>
          </w:p>
        </w:tc>
      </w:tr>
      <w:tr w14:paraId="536C8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9E7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C3F336A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84F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鼓励企业打造氢能应用、光储充系统应用、智能微电网建设等创新场景。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81C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省能源局、省电力公司</w:t>
            </w:r>
          </w:p>
        </w:tc>
      </w:tr>
      <w:tr w14:paraId="0D71F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7A6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5916752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55A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建设智能电网，重点推进海岛柔性直流联网等场景。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70F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省能源局、省电力公司</w:t>
            </w:r>
          </w:p>
        </w:tc>
      </w:tr>
      <w:tr w14:paraId="20659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CA7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03659F25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79C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推进“量子+电力”，在特高压电缆、变电站等场景开展智能监测系统示范应用。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C1F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省能源局、省电力公司</w:t>
            </w:r>
          </w:p>
        </w:tc>
      </w:tr>
      <w:tr w14:paraId="10FFF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A77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A0F64C4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F99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推进深远海清洁能源建设、消纳，规模化开发深远海风电。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E9A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省能源局、省国资委</w:t>
            </w:r>
          </w:p>
        </w:tc>
      </w:tr>
      <w:tr w14:paraId="11D30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35D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105E3725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246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支持车网互动，建设大功率交流充放电应用。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4B7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省能源局、省经信厅</w:t>
            </w:r>
          </w:p>
        </w:tc>
      </w:tr>
      <w:tr w14:paraId="1B5EC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900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54EBD753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752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加快港口绿色可再生能源替代，实现码头岸电覆盖并提升利用效率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B50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省能源局、省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国资委</w:t>
            </w:r>
          </w:p>
        </w:tc>
      </w:tr>
      <w:tr w14:paraId="0766F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976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7C5DF22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9EE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推广新能源集卡、纯电动船舶、船用绿色甲醇等清洁装备和燃料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510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省能源局</w:t>
            </w:r>
          </w:p>
        </w:tc>
      </w:tr>
      <w:tr w14:paraId="5578F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BC7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253F9BC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E49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加快推进义乌－宁波新能源重卡示范线二期工程建设。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2B5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省建设厅，宁波市、义乌市人民政府</w:t>
            </w:r>
          </w:p>
        </w:tc>
      </w:tr>
      <w:tr w14:paraId="5D2E8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849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862" w:type="pct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D751F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智慧物流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DB1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加快建设（近）零碳物流园区，规范提升园区建设标准，重点推进电动货运接驳、园区全域光伏覆盖、光储充一体化补能、循环包装共享等应用场景。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BCC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省发展改革委、省交通运输厅</w:t>
            </w:r>
          </w:p>
        </w:tc>
      </w:tr>
      <w:tr w14:paraId="5FB7A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157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07FC34CF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BF2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实施老旧仓库智慧改造升级，支持企业物流仓储模式创新，重点建设立体高标仓智能存储、共享云仓与仓配一体化、AI智慧调度等场景。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E89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省发展改革委、省交通运输厅</w:t>
            </w:r>
          </w:p>
        </w:tc>
      </w:tr>
      <w:tr w14:paraId="558F6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8FD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5FAD5E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531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打造“四港”智慧物流云平台，推进“四港智运”大模型迭代升级，持续强化“一网智联”服务效能。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8EE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省交通运输厅、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省国资委</w:t>
            </w:r>
          </w:p>
        </w:tc>
      </w:tr>
      <w:tr w14:paraId="5988C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1ED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86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AC38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现代农业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75C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完善种业全产业链，建设数智育苗工厂、种业育繁推一体化、智慧检疫、动物疫病监测、农作物病虫害监测防控等领域场景。</w:t>
            </w:r>
          </w:p>
        </w:tc>
        <w:tc>
          <w:tcPr>
            <w:tcW w:w="886" w:type="pct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188A99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省农业农村厅</w:t>
            </w:r>
          </w:p>
        </w:tc>
      </w:tr>
      <w:tr w14:paraId="62121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2D0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86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1A65B3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D73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推进农业智能装备与模型场景验证中试基地建设，重点打造作物表型诊断、田间生产精准决策等垂直大模型。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EEE242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F47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0A1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86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6814D0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980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建设智慧农（牧、渔）场，开展智能农机研发推广，建成一批具备数字化服务能力的农事服务中心。</w:t>
            </w:r>
          </w:p>
        </w:tc>
        <w:tc>
          <w:tcPr>
            <w:tcW w:w="88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4E8B7B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85D6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083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86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5544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海洋经济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DCA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建设深远海智能养殖、潮流能规模化利用、“海上风电+”等产业发展场景。</w:t>
            </w:r>
          </w:p>
        </w:tc>
        <w:tc>
          <w:tcPr>
            <w:tcW w:w="886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5969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省海洋经济厅</w:t>
            </w:r>
          </w:p>
        </w:tc>
      </w:tr>
      <w:tr w14:paraId="42DC0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0B3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86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958FB0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48A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依托国家海洋综合试验场，加快建设海洋关键材料研制和应用场景。</w:t>
            </w:r>
          </w:p>
        </w:tc>
        <w:tc>
          <w:tcPr>
            <w:tcW w:w="88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1887F2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EAF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39A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86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051AC7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6EE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大力推进“人工智能+港口”场景建设，实施“中欧北极集装箱航线常态化运营”试点。</w:t>
            </w:r>
          </w:p>
        </w:tc>
        <w:tc>
          <w:tcPr>
            <w:tcW w:w="88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F95BC6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293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59E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86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FCB745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21E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深入推进海洋资源环境可信数据空间建设，在港口航运等领域率先落地数据赋能应用场景。</w:t>
            </w:r>
          </w:p>
        </w:tc>
        <w:tc>
          <w:tcPr>
            <w:tcW w:w="88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0147F5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DFA3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29E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86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BD8794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252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加快“人工智能+渔船安全”国家试点，推进船员防疲劳驾驶智能管理、渔港防火灾智能预警等场景建设。</w:t>
            </w:r>
          </w:p>
        </w:tc>
        <w:tc>
          <w:tcPr>
            <w:tcW w:w="88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5AA950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2DC9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3A1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三、培育一批行业智慧监管应用场景</w:t>
            </w:r>
          </w:p>
        </w:tc>
      </w:tr>
      <w:tr w14:paraId="364E6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662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862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3EC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应急管理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240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推进监测预警智能化，深化森林防火、防汛防台、危化安全、矿山安全等场景应用。</w:t>
            </w:r>
          </w:p>
        </w:tc>
        <w:tc>
          <w:tcPr>
            <w:tcW w:w="886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FCD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省应急管理厅</w:t>
            </w:r>
          </w:p>
        </w:tc>
      </w:tr>
      <w:tr w14:paraId="562B7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FCB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DC3C4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0B3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推进监管执法规范化专业化，打造隐患排查、可燃物智能识别、智能执法辅助等创新场景。</w:t>
            </w:r>
          </w:p>
        </w:tc>
        <w:tc>
          <w:tcPr>
            <w:tcW w:w="886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7B312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2B5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E0E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BE7D5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36D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推进指挥决策智能化，推动风险研判、应急物资调控等能力向乡镇延伸下沉。</w:t>
            </w:r>
          </w:p>
        </w:tc>
        <w:tc>
          <w:tcPr>
            <w:tcW w:w="886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A5D19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E3ED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2EA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8AC31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361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加快灾害现场重建、救援智能装备等应急指挥救援场景应用。</w:t>
            </w:r>
          </w:p>
        </w:tc>
        <w:tc>
          <w:tcPr>
            <w:tcW w:w="886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09D59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57A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F4E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862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2EA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智慧交通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127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聚焦交通设施融合感知、行业治理高效协同、运输服务便捷智能三个主攻方向，推进全路网感知能力建设，实现重点路段、桥隧、枢纽的全要素动态感知与风险预警。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0B2D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省交通运输厅、省国资委</w:t>
            </w:r>
          </w:p>
        </w:tc>
      </w:tr>
      <w:tr w14:paraId="5B191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C73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77DB6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98F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重点打造港口集疏运大通道、智慧高速AI应用等场景。</w:t>
            </w:r>
          </w:p>
        </w:tc>
        <w:tc>
          <w:tcPr>
            <w:tcW w:w="886" w:type="pct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2D5B7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省交通运输厅、省国资委</w:t>
            </w:r>
          </w:p>
        </w:tc>
      </w:tr>
      <w:tr w14:paraId="70B5F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87E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1FAA2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8FD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持续提升港口无人化作业水平，推进港区无人集卡规模化应用，优化无人集卡云路径协调平台，提升无人车、有人车全局协同调度能力。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DBD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省交通运输厅、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省国资委</w:t>
            </w:r>
          </w:p>
        </w:tc>
      </w:tr>
      <w:tr w14:paraId="5F1B6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38C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862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094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智慧水利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EF2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建设预报调度模型和全省水利防汛防台一张图。</w:t>
            </w:r>
          </w:p>
        </w:tc>
        <w:tc>
          <w:tcPr>
            <w:tcW w:w="886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36F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省水利厅</w:t>
            </w:r>
          </w:p>
        </w:tc>
      </w:tr>
      <w:tr w14:paraId="45F45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BC0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C6436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40D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构建水资源智能管理和调配一体化系统，打造用水预测预警服务场景。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E65D5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E272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862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3FF73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5FB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强化河湖库智能监管，建立“AI河长”巡河机制。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4CB01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516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EA9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2F562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096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推行水利工程智能巡检，加强运行管理矩阵成果推广。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24FA4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AB0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64B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B86F2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5AF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提升农村供水和水土保持监管能力，推动水土保持方案智能审核。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30D82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F7B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6D9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862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AE4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施工安全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193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建设房屋市政工程安全隐患动态识别和智能处置平台，试点推广智能巡检、AI嵌入式执法记录仪等创新应用场景。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1CB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省建设厅</w:t>
            </w:r>
          </w:p>
        </w:tc>
      </w:tr>
      <w:tr w14:paraId="59622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374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49E43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59A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推进交通工程重大项目隐患识别“AI智能算法”“安全人工智能体”研发，建设监督检查、风险管控、隐患排查等应用场景。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603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省交通运输厅</w:t>
            </w:r>
          </w:p>
        </w:tc>
      </w:tr>
      <w:tr w14:paraId="2BBDB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B15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四、培育一批高效社会治理应用场景</w:t>
            </w:r>
          </w:p>
        </w:tc>
      </w:tr>
      <w:tr w14:paraId="1A3F2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32F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73</w:t>
            </w:r>
          </w:p>
        </w:tc>
        <w:tc>
          <w:tcPr>
            <w:tcW w:w="862" w:type="pct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7E93F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政务服务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304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加快推动全省统一政务智能问答服务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27F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省数据局、省信访局</w:t>
            </w:r>
          </w:p>
        </w:tc>
      </w:tr>
      <w:tr w14:paraId="51EBC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274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571D345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DB9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运用AI技术建设企业精准科技攻关场景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B9D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省科技厅</w:t>
            </w:r>
          </w:p>
        </w:tc>
      </w:tr>
      <w:tr w14:paraId="308BF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C10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D6BB264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AB3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运用AI技术建设辅助生成环评报告场景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935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省生态环境厅</w:t>
            </w:r>
          </w:p>
        </w:tc>
      </w:tr>
      <w:tr w14:paraId="182CC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C1F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A5E0B32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39C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运用AI技术智能审核大件运输资质场景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15D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省交通运输厅</w:t>
            </w:r>
          </w:p>
        </w:tc>
      </w:tr>
      <w:tr w14:paraId="4C8BD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340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507AE0F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9F4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运用AI技术智慧招投标场景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6EB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省发展改革委</w:t>
            </w:r>
          </w:p>
        </w:tc>
      </w:tr>
      <w:tr w14:paraId="3FCF3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347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78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C516D37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721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运用AI技术智能识别网络餐饮后厨风险场景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47E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省市场监管局</w:t>
            </w:r>
          </w:p>
        </w:tc>
      </w:tr>
      <w:tr w14:paraId="389B2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DC9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79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987A41B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F91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运用AI技术智能辅助劳动仲裁场景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100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省人力社保厅</w:t>
            </w:r>
          </w:p>
        </w:tc>
      </w:tr>
      <w:tr w14:paraId="42C1E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429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ECB710">
            <w:pPr>
              <w:spacing w:line="34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71F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建设行政机关合同审查智能体、行政复议案件登记与受理审查智能体。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D3F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6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省司法厅</w:t>
            </w:r>
          </w:p>
        </w:tc>
      </w:tr>
      <w:tr w14:paraId="7F98B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A99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81</w:t>
            </w:r>
          </w:p>
        </w:tc>
        <w:tc>
          <w:tcPr>
            <w:tcW w:w="86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29C9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智慧城市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DF4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推广智能物业客服、机器人巡逻、电子围栏等设备应用。</w:t>
            </w:r>
          </w:p>
        </w:tc>
        <w:tc>
          <w:tcPr>
            <w:tcW w:w="886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E8C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" w:bidi="ar"/>
              </w:rPr>
              <w:t>省数据局、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省建设厅</w:t>
            </w:r>
          </w:p>
        </w:tc>
      </w:tr>
      <w:tr w14:paraId="21EA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984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86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A4E30D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514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建立供水、供气市政设施数据库，打造城市管理预警分析场景。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8D30C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728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D29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83</w:t>
            </w:r>
          </w:p>
        </w:tc>
        <w:tc>
          <w:tcPr>
            <w:tcW w:w="86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CE5E41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E95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迭代升级“浙里建造”场景，探索预制构件质量监管应用场景。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4472B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967B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D66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86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04200E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E9D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打造“市容监管”“环卫保洁”等城市治理智能应用场景。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67067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232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F9E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86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843317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1A8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支持杭州市依托城市大脑发掘推荐一批数智产品。</w:t>
            </w:r>
          </w:p>
        </w:tc>
        <w:tc>
          <w:tcPr>
            <w:tcW w:w="886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287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省数据局</w:t>
            </w:r>
          </w:p>
        </w:tc>
      </w:tr>
      <w:tr w14:paraId="00C5C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EBB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86</w:t>
            </w:r>
          </w:p>
        </w:tc>
        <w:tc>
          <w:tcPr>
            <w:tcW w:w="86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4A996C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917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支持温州市开展城市可信数据空间试点。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21C9D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9EC5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F2C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86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DB66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和美乡村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F5E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推进乡村片区组团发展，支持组团片区交通、物流等基础设施和“20分钟便民服务生活圈”建设。</w:t>
            </w:r>
          </w:p>
        </w:tc>
        <w:tc>
          <w:tcPr>
            <w:tcW w:w="886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74F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省农业农村厅</w:t>
            </w:r>
          </w:p>
        </w:tc>
      </w:tr>
      <w:tr w14:paraId="71307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0E2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86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A373D0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349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加快培育休闲露营、农事体验、康养疗愈等新产业新业态，探索发展众筹农业、共享农庄、数字游民社区等新模式。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2E3F4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1954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210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86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3ECD2C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995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依托“浙农经管2.0”，建立乡村资源资产数据库，构建村集体资产一码管理机制，探索推进农村产权交易数据全省集成。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AB5F2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4CB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D08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五、培育一批普惠民生服务应用场景</w:t>
            </w:r>
          </w:p>
        </w:tc>
      </w:tr>
      <w:tr w14:paraId="2B978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7C8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862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A28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智慧医疗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DB2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迭代安诊儿医疗智能体3.0，推进在全省医疗机构应用，强化各类数据多模态识别和人机交互能力，提升健康咨询、就医陪诊、名医孪生、报告解读等居民端智能化服务。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39A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省卫生健康委、省国资委</w:t>
            </w:r>
          </w:p>
        </w:tc>
      </w:tr>
      <w:tr w14:paraId="49A9E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AA6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91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F2588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0B7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完善医疗数据采集、标注标准体系，推进医疗数据基础设施建设。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719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省卫生健康委、省国资委</w:t>
            </w:r>
          </w:p>
        </w:tc>
      </w:tr>
      <w:tr w14:paraId="419E8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AFD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92</w:t>
            </w:r>
          </w:p>
        </w:tc>
        <w:tc>
          <w:tcPr>
            <w:tcW w:w="86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D2678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1D0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依托杭州极弱磁场国家重大科技基础设施，系统推进“量子+医疗”融合创新。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4B9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省卫生健康委、杭州市人民政府</w:t>
            </w:r>
          </w:p>
        </w:tc>
      </w:tr>
      <w:tr w14:paraId="7BC3D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C1C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862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B88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养老助残托育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952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迭代“浙里康养”，推广“一床一码”智能终端，集约化建设县级综合养老服务管理平台，优化智能看护、健康监测、风险预警、情感陪伴等场景，发展银发电商平台。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6B7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省民政厅</w:t>
            </w:r>
          </w:p>
        </w:tc>
      </w:tr>
      <w:tr w14:paraId="102F5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605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94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C9512">
            <w:pPr>
              <w:spacing w:line="35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91D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在脑（脊）机接口、视觉或听觉重建、人造器官组织等关键领域，引导企业助残研发，建设科技辅具体验平台。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239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省残联</w:t>
            </w:r>
          </w:p>
        </w:tc>
      </w:tr>
      <w:tr w14:paraId="31710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345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95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A8402">
            <w:pPr>
              <w:spacing w:line="35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8E0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推进省市县三级标准化托育综合服务中心场景建设。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15B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省卫生健康委</w:t>
            </w:r>
          </w:p>
        </w:tc>
      </w:tr>
      <w:tr w14:paraId="28DE3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6C8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96</w:t>
            </w:r>
          </w:p>
        </w:tc>
        <w:tc>
          <w:tcPr>
            <w:tcW w:w="862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EF9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文化和旅游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539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推进国家人工智能应用中试基地（消费领域文化旅游方向）平台建设，推动算力等共性支撑能力建设。</w:t>
            </w:r>
          </w:p>
        </w:tc>
        <w:tc>
          <w:tcPr>
            <w:tcW w:w="886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A88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省委宣传部、省文化广电和旅游厅</w:t>
            </w:r>
          </w:p>
        </w:tc>
      </w:tr>
      <w:tr w14:paraId="2FF08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101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7B9F8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377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推进人工智能技术在传播、旅游、影视、文化遗产保护等领域落地应用，整合大语言模型、多模态数据及多角色交互技术，构建覆盖景区、博物馆等场景沉浸式体验服务体系。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E8465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D579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39B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98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BC877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DE3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争取国家开放入境申报系统、离境退税无纸化系统接口，打造入境文旅全链条智慧服务场景。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8EDDF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C285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A79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99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FB95E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1EF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优化非遗数据采集精度，推动非遗技艺数字化保护与IP化运营。</w:t>
            </w:r>
          </w:p>
        </w:tc>
        <w:tc>
          <w:tcPr>
            <w:tcW w:w="88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0D6D6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5DB1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B97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862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318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跨界融合消费</w:t>
            </w: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B14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加强商业、文化、旅游、体育、健康、交通等跨界融合，培育VR虚拟现实、无人零售终端等技术融合消费场景。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F19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省商务厅</w:t>
            </w: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省经信厅、省文化广电和旅游厅</w:t>
            </w:r>
          </w:p>
        </w:tc>
      </w:tr>
      <w:tr w14:paraId="05116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3FE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101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3AFF6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B49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加大“三新”消费试点城市新场景培育力度。推进人工智能技术在电商领域营销、设计、供应链等环节的应用。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480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省商务厅、省国资委</w:t>
            </w:r>
          </w:p>
        </w:tc>
      </w:tr>
      <w:tr w14:paraId="379DD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45D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102</w:t>
            </w:r>
          </w:p>
        </w:tc>
        <w:tc>
          <w:tcPr>
            <w:tcW w:w="862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9886E"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C96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强化历史经典产业融合发展，打造“历史经典+IP”“历史经典+文旅”“历史经典+生活”消费新场景。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942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省经信厅、省文化广电和旅游厅</w:t>
            </w:r>
          </w:p>
        </w:tc>
      </w:tr>
    </w:tbl>
    <w:p w14:paraId="6A66F9ED">
      <w:pPr>
        <w:pStyle w:val="13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9" w:lineRule="exact"/>
        <w:ind w:left="0" w:right="0" w:rightChars="0"/>
        <w:jc w:val="left"/>
        <w:outlineLvl w:val="1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"/>
        </w:rPr>
        <w:br w:type="page"/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"/>
        </w:rPr>
        <w:t>附3</w:t>
      </w:r>
    </w:p>
    <w:p w14:paraId="5FD4313A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/>
        <w:jc w:val="center"/>
        <w:rPr>
          <w:rFonts w:hint="default" w:ascii="Times New Roman" w:hAnsi="Times New Roman" w:eastAsia="方正小标宋简体" w:cs="Times New Roman"/>
          <w:spacing w:val="-6"/>
          <w:kern w:val="0"/>
          <w:sz w:val="44"/>
          <w:szCs w:val="44"/>
          <w:lang w:val="en-US" w:eastAsia="zh-CN" w:bidi="ar"/>
        </w:rPr>
      </w:pPr>
    </w:p>
    <w:p w14:paraId="074FD699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15"/>
          <w:szCs w:val="15"/>
        </w:rPr>
      </w:pPr>
      <w:r>
        <w:rPr>
          <w:rFonts w:hint="default" w:ascii="Times New Roman" w:hAnsi="Times New Roman" w:eastAsia="方正小标宋简体" w:cs="Times New Roman"/>
          <w:spacing w:val="-6"/>
          <w:kern w:val="0"/>
          <w:sz w:val="44"/>
          <w:szCs w:val="44"/>
          <w:lang w:val="en-US" w:eastAsia="zh-CN" w:bidi="ar"/>
        </w:rPr>
        <w:t>场景培育和开放工作流程</w:t>
      </w:r>
    </w:p>
    <w:p w14:paraId="54E149A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pacing w:val="-6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spacing w:val="-6"/>
          <w:kern w:val="2"/>
          <w:sz w:val="21"/>
          <w:szCs w:val="21"/>
          <w:lang w:val="en-US" w:eastAsia="zh-CN" w:bidi="ar"/>
        </w:rPr>
        <w:instrText xml:space="preserve">INCLUDEPICTURE \d "/tmp/wps-user/ksohtml/wps2EimXk.jpg" \* MERGEFORMATINET </w:instrText>
      </w:r>
      <w:r>
        <w:rPr>
          <w:rFonts w:hint="default" w:ascii="Times New Roman" w:hAnsi="Times New Roman" w:eastAsia="仿宋_GB2312" w:cs="Times New Roman"/>
          <w:spacing w:val="-6"/>
          <w:kern w:val="2"/>
          <w:sz w:val="21"/>
          <w:szCs w:val="21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spacing w:val="-6"/>
          <w:kern w:val="2"/>
          <w:sz w:val="21"/>
          <w:szCs w:val="21"/>
          <w:lang w:val="en-US" w:eastAsia="zh-CN" w:bidi="ar"/>
        </w:rPr>
        <w:fldChar w:fldCharType="end"/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640705" cy="6589395"/>
            <wp:effectExtent l="0" t="0" r="17145" b="190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0705" cy="658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B097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79" w:lineRule="exact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lang w:eastAsia="zh-CN"/>
        </w:rPr>
      </w:pPr>
    </w:p>
    <w:sectPr>
      <w:footerReference r:id="rId5" w:type="default"/>
      <w:footerReference r:id="rId6" w:type="even"/>
      <w:pgSz w:w="11906" w:h="16838"/>
      <w:pgMar w:top="2098" w:right="1474" w:bottom="1984" w:left="1587" w:header="851" w:footer="1587" w:gutter="0"/>
      <w:paperSrc/>
      <w:pgNumType w:fmt="decimal"/>
      <w:cols w:space="72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55B4BF-8187-4EEA-A1C0-5FF03BFAE5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FCAF8AB-43EE-4308-A3F0-1641F63016D9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黑体_GBK">
    <w:altName w:val="黑体"/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5A3470C-1547-41AB-88A0-F5A9AAECFB86}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26839DD-7CD9-4530-9967-CE9A4411C69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D8B05D69-1BCB-4250-BE92-DDFF44D6034E}"/>
  </w:font>
  <w:font w:name="华文仿宋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6" w:fontKey="{2C049A13-7A39-4AD9-92E4-5B6C047FB1D6}"/>
  </w:font>
  <w:font w:name="国标楷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7" w:fontKey="{0E369A44-75AC-4865-A764-6D7B18FE48F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CA35A">
    <w:pPr>
      <w:pStyle w:val="11"/>
      <w:keepNext w:val="0"/>
      <w:keepLines w:val="0"/>
      <w:pageBreakBefore w:val="0"/>
      <w:widowControl w:val="0"/>
      <w:kinsoku/>
      <w:wordWrap w:val="0"/>
      <w:overflowPunct w:val="0"/>
      <w:topLinePunct w:val="0"/>
      <w:autoSpaceDE w:val="0"/>
      <w:autoSpaceDN w:val="0"/>
      <w:bidi w:val="0"/>
      <w:adjustRightInd w:val="0"/>
      <w:snapToGrid/>
      <w:spacing w:line="400" w:lineRule="exact"/>
      <w:ind w:left="0" w:leftChars="0" w:right="320" w:rightChars="100" w:firstLine="0" w:firstLineChars="0"/>
      <w:jc w:val="right"/>
      <w:textAlignment w:val="baseline"/>
      <w:outlineLvl w:val="9"/>
      <w:rPr>
        <w:rFonts w:hint="default" w:ascii="Times New Roman" w:hAnsi="Times New Roman" w:eastAsia="仿宋_GB2312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A3D2976">
                          <w:pPr>
                            <w:pStyle w:val="11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 w:val="0"/>
                            <w:overflowPunct w:val="0"/>
                            <w:topLinePunct w:val="0"/>
                            <w:autoSpaceDE w:val="0"/>
                            <w:autoSpaceDN w:val="0"/>
                            <w:bidi w:val="0"/>
                            <w:adjustRightInd w:val="0"/>
                            <w:snapToGrid/>
                            <w:spacing w:line="400" w:lineRule="exact"/>
                            <w:ind w:left="0" w:leftChars="0" w:right="0" w:rightChars="0" w:firstLine="0" w:firstLineChars="0"/>
                            <w:jc w:val="right"/>
                            <w:textAlignment w:val="baseline"/>
                            <w:outlineLvl w:val="9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Style w:val="16"/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6"/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6"/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6"/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16"/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AHI8mW5gEA&#10;AMg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A3D2976">
                    <w:pPr>
                      <w:pStyle w:val="11"/>
                      <w:keepNext w:val="0"/>
                      <w:keepLines w:val="0"/>
                      <w:pageBreakBefore w:val="0"/>
                      <w:widowControl w:val="0"/>
                      <w:kinsoku/>
                      <w:wordWrap w:val="0"/>
                      <w:overflowPunct w:val="0"/>
                      <w:topLinePunct w:val="0"/>
                      <w:autoSpaceDE w:val="0"/>
                      <w:autoSpaceDN w:val="0"/>
                      <w:bidi w:val="0"/>
                      <w:adjustRightInd w:val="0"/>
                      <w:snapToGrid/>
                      <w:spacing w:line="400" w:lineRule="exact"/>
                      <w:ind w:left="0" w:leftChars="0" w:right="0" w:rightChars="0" w:firstLine="0" w:firstLineChars="0"/>
                      <w:jc w:val="right"/>
                      <w:textAlignment w:val="baseline"/>
                      <w:outlineLvl w:val="9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Style w:val="16"/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6"/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6"/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6"/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16"/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48536">
    <w:pPr>
      <w:pStyle w:val="11"/>
      <w:keepNext w:val="0"/>
      <w:keepLines w:val="0"/>
      <w:pageBreakBefore w:val="0"/>
      <w:widowControl w:val="0"/>
      <w:kinsoku/>
      <w:wordWrap/>
      <w:overflowPunct w:val="0"/>
      <w:topLinePunct w:val="0"/>
      <w:autoSpaceDE w:val="0"/>
      <w:autoSpaceDN w:val="0"/>
      <w:bidi w:val="0"/>
      <w:adjustRightInd w:val="0"/>
      <w:snapToGrid/>
      <w:spacing w:line="400" w:lineRule="exact"/>
      <w:ind w:left="0" w:leftChars="0" w:right="0" w:rightChars="0" w:firstLine="0" w:firstLineChars="0"/>
      <w:jc w:val="right"/>
      <w:textAlignment w:val="baseline"/>
      <w:outlineLvl w:val="9"/>
      <w:rPr>
        <w:rStyle w:val="16"/>
        <w:rFonts w:hint="eastAsia" w:ascii="宋体" w:hAnsi="宋体" w:eastAsia="仿宋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648B5B30">
                          <w:pPr>
                            <w:pStyle w:val="11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 w:val="0"/>
                            <w:overflowPunct w:val="0"/>
                            <w:topLinePunct w:val="0"/>
                            <w:autoSpaceDE w:val="0"/>
                            <w:autoSpaceDN w:val="0"/>
                            <w:bidi w:val="0"/>
                            <w:adjustRightInd w:val="0"/>
                            <w:snapToGrid/>
                            <w:spacing w:line="400" w:lineRule="exact"/>
                            <w:ind w:left="0" w:leftChars="0" w:right="0" w:rightChars="0" w:firstLine="0" w:firstLineChars="0"/>
                            <w:jc w:val="right"/>
                            <w:textAlignment w:val="baseline"/>
                            <w:outlineLvl w:val="9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Style w:val="16"/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6"/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6"/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6"/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16"/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0pt;margin-top:0pt;height:144pt;width:144pt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oaYJL0wAAAAUB&#10;AAAPAAAAAAAAAAEAIAAAACIAAABkcnMvZG93bnJldi54bWxQSwECFAAUAAAACACHTuJA2neumucB&#10;AADIAwAADgAAAAAAAAABACAAAAAiAQAAZHJzL2Uyb0RvYy54bWxQSwUGAAAAAAYABgBZAQAAewUA&#10;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48B5B30">
                    <w:pPr>
                      <w:pStyle w:val="11"/>
                      <w:keepNext w:val="0"/>
                      <w:keepLines w:val="0"/>
                      <w:pageBreakBefore w:val="0"/>
                      <w:widowControl w:val="0"/>
                      <w:kinsoku/>
                      <w:wordWrap w:val="0"/>
                      <w:overflowPunct w:val="0"/>
                      <w:topLinePunct w:val="0"/>
                      <w:autoSpaceDE w:val="0"/>
                      <w:autoSpaceDN w:val="0"/>
                      <w:bidi w:val="0"/>
                      <w:adjustRightInd w:val="0"/>
                      <w:snapToGrid/>
                      <w:spacing w:line="400" w:lineRule="exact"/>
                      <w:ind w:left="0" w:leftChars="0" w:right="0" w:rightChars="0" w:firstLine="0" w:firstLineChars="0"/>
                      <w:jc w:val="right"/>
                      <w:textAlignment w:val="baseline"/>
                      <w:outlineLvl w:val="9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Style w:val="16"/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6"/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6"/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6"/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16"/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18EAA1"/>
    <w:multiLevelType w:val="multilevel"/>
    <w:tmpl w:val="A318EAA1"/>
    <w:lvl w:ilvl="0" w:tentative="0">
      <w:start w:val="1"/>
      <w:numFmt w:val="decimal"/>
      <w:pStyle w:val="2"/>
      <w:lvlText w:val="%1"/>
      <w:lvlJc w:val="left"/>
      <w:pPr>
        <w:ind w:left="431" w:hanging="431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578" w:hanging="17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29" w:hanging="29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390" w:hanging="390"/>
      </w:pPr>
      <w:rPr>
        <w:rFonts w:hint="eastAsia"/>
        <w:lang w:val="en-US"/>
      </w:rPr>
    </w:lvl>
    <w:lvl w:ilvl="4" w:tentative="0">
      <w:start w:val="1"/>
      <w:numFmt w:val="decimal"/>
      <w:pStyle w:val="6"/>
      <w:lvlText w:val="%1.%2.%3.%4.%5"/>
      <w:lvlJc w:val="left"/>
      <w:pPr>
        <w:ind w:left="520" w:hanging="520"/>
      </w:pPr>
      <w:rPr>
        <w:rFonts w:hint="eastAsia"/>
        <w:b/>
        <w:sz w:val="28"/>
      </w:rPr>
    </w:lvl>
    <w:lvl w:ilvl="5" w:tentative="0">
      <w:start w:val="1"/>
      <w:numFmt w:val="decimal"/>
      <w:pStyle w:val="7"/>
      <w:lvlText w:val="%1.%2.%3.%4.%5.%6"/>
      <w:lvlJc w:val="left"/>
      <w:pPr>
        <w:ind w:left="650" w:firstLine="431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780" w:firstLine="431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910" w:firstLine="431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040" w:firstLine="431"/>
      </w:pPr>
      <w:rPr>
        <w:rFonts w:hint="eastAsia"/>
      </w:rPr>
    </w:lvl>
  </w:abstractNum>
  <w:abstractNum w:abstractNumId="1">
    <w:nsid w:val="EBFAF3AE"/>
    <w:multiLevelType w:val="multilevel"/>
    <w:tmpl w:val="EBFAF3AE"/>
    <w:lvl w:ilvl="0" w:tentative="0">
      <w:start w:val="1"/>
      <w:numFmt w:val="chineseCounting"/>
      <w:suff w:val="nothing"/>
      <w:lvlText w:val="%1、"/>
      <w:lvlJc w:val="left"/>
      <w:pPr>
        <w:ind w:left="-10" w:firstLine="0"/>
      </w:pPr>
      <w:rPr>
        <w:rFonts w:hint="eastAsia" w:ascii="黑体" w:hAnsi="宋体" w:eastAsia="黑体" w:cs="黑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0000009"/>
    <w:multiLevelType w:val="multilevel"/>
    <w:tmpl w:val="00000009"/>
    <w:lvl w:ilvl="0" w:tentative="0">
      <w:start w:val="1"/>
      <w:numFmt w:val="chineseCountingThousand"/>
      <w:pStyle w:val="19"/>
      <w:suff w:val="space"/>
      <w:lvlText w:val="第%1章"/>
      <w:lvlJc w:val="left"/>
      <w:pPr>
        <w:ind w:left="0" w:firstLine="454"/>
      </w:pPr>
      <w:rPr>
        <w:rFonts w:hint="eastAsia" w:eastAsia="方正黑体_GBK"/>
        <w:color w:val="auto"/>
      </w:rPr>
    </w:lvl>
    <w:lvl w:ilvl="1" w:tentative="0">
      <w:start w:val="1"/>
      <w:numFmt w:val="chineseCountingThousand"/>
      <w:suff w:val="space"/>
      <w:lvlText w:val="第%2条"/>
      <w:lvlJc w:val="left"/>
      <w:pPr>
        <w:ind w:left="0" w:firstLine="0"/>
      </w:pPr>
      <w:rPr>
        <w:rFonts w:hint="eastAsia" w:eastAsia="方正黑体_GBK"/>
        <w:color w:val="auto"/>
      </w:rPr>
    </w:lvl>
    <w:lvl w:ilvl="2" w:tentative="0">
      <w:start w:val="1"/>
      <w:numFmt w:val="chineseCountingThousand"/>
      <w:suff w:val="space"/>
      <w:lvlText w:val="第%3条"/>
      <w:lvlJc w:val="left"/>
      <w:pPr>
        <w:ind w:left="0" w:firstLine="454"/>
      </w:pPr>
      <w:rPr>
        <w:rFonts w:hint="eastAsia"/>
        <w:color w:val="auto"/>
      </w:rPr>
    </w:lvl>
    <w:lvl w:ilvl="3" w:tentative="0">
      <w:start w:val="1"/>
      <w:numFmt w:val="chineseCountingThousand"/>
      <w:suff w:val="space"/>
      <w:lvlText w:val="（%4）"/>
      <w:lvlJc w:val="left"/>
      <w:pPr>
        <w:ind w:left="0" w:firstLine="340"/>
      </w:pPr>
      <w:rPr>
        <w:rFonts w:hint="eastAsia"/>
        <w:color w:val="auto"/>
      </w:rPr>
    </w:lvl>
    <w:lvl w:ilvl="4" w:tentative="0">
      <w:start w:val="1"/>
      <w:numFmt w:val="decimal"/>
      <w:suff w:val="space"/>
      <w:lvlText w:val="%5．"/>
      <w:lvlJc w:val="left"/>
      <w:pPr>
        <w:ind w:left="0" w:firstLine="454"/>
      </w:pPr>
      <w:rPr>
        <w:rFonts w:hint="eastAsia"/>
        <w:color w:val="auto"/>
      </w:rPr>
    </w:lvl>
    <w:lvl w:ilvl="5" w:tentative="0">
      <w:start w:val="1"/>
      <w:numFmt w:val="decimal"/>
      <w:suff w:val="space"/>
      <w:lvlText w:val="（%6）"/>
      <w:lvlJc w:val="left"/>
      <w:pPr>
        <w:ind w:left="0" w:firstLine="340"/>
      </w:pPr>
      <w:rPr>
        <w:rFonts w:hint="eastAsia"/>
        <w:color w:val="auto"/>
      </w:rPr>
    </w:lvl>
    <w:lvl w:ilvl="6" w:tentative="0">
      <w:start w:val="1"/>
      <w:numFmt w:val="decimalEnclosedCircle"/>
      <w:suff w:val="space"/>
      <w:lvlText w:val="%7 "/>
      <w:lvlJc w:val="left"/>
      <w:pPr>
        <w:ind w:left="0" w:firstLine="454"/>
      </w:pPr>
      <w:rPr>
        <w:rFonts w:hint="eastAsia"/>
        <w:color w:val="auto"/>
      </w:rPr>
    </w:lvl>
    <w:lvl w:ilvl="7" w:tentative="0">
      <w:start w:val="1"/>
      <w:numFmt w:val="decimal"/>
      <w:suff w:val="space"/>
      <w:lvlText w:val="%8）"/>
      <w:lvlJc w:val="left"/>
      <w:pPr>
        <w:ind w:left="0" w:firstLine="454"/>
      </w:pPr>
      <w:rPr>
        <w:rFonts w:hint="eastAsia"/>
        <w:color w:val="auto"/>
      </w:rPr>
    </w:lvl>
    <w:lvl w:ilvl="8" w:tentative="0">
      <w:start w:val="1"/>
      <w:numFmt w:val="none"/>
      <w:suff w:val="space"/>
      <w:lvlText w:val="a．"/>
      <w:lvlJc w:val="left"/>
      <w:pPr>
        <w:ind w:left="0" w:firstLine="454"/>
      </w:pPr>
      <w:rPr>
        <w:rFonts w:hint="eastAsia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iDocStyle" w:val="2"/>
  </w:docVars>
  <w:rsids>
    <w:rsidRoot w:val="509D5B52"/>
    <w:rsid w:val="001144C4"/>
    <w:rsid w:val="00144FDE"/>
    <w:rsid w:val="0070161E"/>
    <w:rsid w:val="00B568EE"/>
    <w:rsid w:val="00EC0780"/>
    <w:rsid w:val="00F514E8"/>
    <w:rsid w:val="011D6E97"/>
    <w:rsid w:val="01E24D3D"/>
    <w:rsid w:val="02AA70E0"/>
    <w:rsid w:val="03995A78"/>
    <w:rsid w:val="03F20308"/>
    <w:rsid w:val="044A312E"/>
    <w:rsid w:val="04D77485"/>
    <w:rsid w:val="04FF203E"/>
    <w:rsid w:val="0529380C"/>
    <w:rsid w:val="05881EF1"/>
    <w:rsid w:val="07B02B91"/>
    <w:rsid w:val="07F3020E"/>
    <w:rsid w:val="083E7612"/>
    <w:rsid w:val="098276C9"/>
    <w:rsid w:val="09DD2AC5"/>
    <w:rsid w:val="0B0E6FE2"/>
    <w:rsid w:val="0B100735"/>
    <w:rsid w:val="0B6D23B6"/>
    <w:rsid w:val="0B7322C4"/>
    <w:rsid w:val="0BBF2358"/>
    <w:rsid w:val="0D12337E"/>
    <w:rsid w:val="0E5D33A0"/>
    <w:rsid w:val="0E8841E4"/>
    <w:rsid w:val="0FAF13F1"/>
    <w:rsid w:val="10A65556"/>
    <w:rsid w:val="10C01B47"/>
    <w:rsid w:val="10C66A5B"/>
    <w:rsid w:val="114470DA"/>
    <w:rsid w:val="1162178E"/>
    <w:rsid w:val="118925D3"/>
    <w:rsid w:val="131751BA"/>
    <w:rsid w:val="133F795A"/>
    <w:rsid w:val="136C60EA"/>
    <w:rsid w:val="140D7B69"/>
    <w:rsid w:val="146F6B23"/>
    <w:rsid w:val="16B36D4D"/>
    <w:rsid w:val="170E1A54"/>
    <w:rsid w:val="1781069F"/>
    <w:rsid w:val="179F7C4F"/>
    <w:rsid w:val="17DB2059"/>
    <w:rsid w:val="181E1C81"/>
    <w:rsid w:val="18344999"/>
    <w:rsid w:val="18A43C7A"/>
    <w:rsid w:val="1A126F1F"/>
    <w:rsid w:val="1A2E6BC6"/>
    <w:rsid w:val="1A8358AB"/>
    <w:rsid w:val="1A8D4407"/>
    <w:rsid w:val="1B4E7F5F"/>
    <w:rsid w:val="1B7A37A3"/>
    <w:rsid w:val="1CAC7B6B"/>
    <w:rsid w:val="1CFA5808"/>
    <w:rsid w:val="1DAE4172"/>
    <w:rsid w:val="1DE607BD"/>
    <w:rsid w:val="1E1B49AA"/>
    <w:rsid w:val="1E645BFE"/>
    <w:rsid w:val="1EB83BF5"/>
    <w:rsid w:val="1F3919E3"/>
    <w:rsid w:val="1F4D1EEA"/>
    <w:rsid w:val="20981193"/>
    <w:rsid w:val="228A06B6"/>
    <w:rsid w:val="23686A00"/>
    <w:rsid w:val="240176EB"/>
    <w:rsid w:val="240F7F39"/>
    <w:rsid w:val="243C3431"/>
    <w:rsid w:val="26087785"/>
    <w:rsid w:val="26287BEF"/>
    <w:rsid w:val="263343BB"/>
    <w:rsid w:val="275209AB"/>
    <w:rsid w:val="279007D6"/>
    <w:rsid w:val="27EC43A1"/>
    <w:rsid w:val="28E00B4F"/>
    <w:rsid w:val="29236FD0"/>
    <w:rsid w:val="292E501E"/>
    <w:rsid w:val="2A7121B2"/>
    <w:rsid w:val="2AA41911"/>
    <w:rsid w:val="2AC5166B"/>
    <w:rsid w:val="2DC95422"/>
    <w:rsid w:val="300D713B"/>
    <w:rsid w:val="301B2C43"/>
    <w:rsid w:val="30391EE2"/>
    <w:rsid w:val="30556BC8"/>
    <w:rsid w:val="314C0871"/>
    <w:rsid w:val="31E36604"/>
    <w:rsid w:val="324A4F10"/>
    <w:rsid w:val="326C0F15"/>
    <w:rsid w:val="32943683"/>
    <w:rsid w:val="329441B0"/>
    <w:rsid w:val="32A92D2C"/>
    <w:rsid w:val="32BF02C5"/>
    <w:rsid w:val="330A2C48"/>
    <w:rsid w:val="33E53C76"/>
    <w:rsid w:val="345B0173"/>
    <w:rsid w:val="34626C83"/>
    <w:rsid w:val="34804EEC"/>
    <w:rsid w:val="34873FB7"/>
    <w:rsid w:val="34C865A9"/>
    <w:rsid w:val="353969B7"/>
    <w:rsid w:val="35714139"/>
    <w:rsid w:val="35B93933"/>
    <w:rsid w:val="36674D7B"/>
    <w:rsid w:val="38040D9B"/>
    <w:rsid w:val="3817023E"/>
    <w:rsid w:val="38586D15"/>
    <w:rsid w:val="38F8039B"/>
    <w:rsid w:val="3B9527DE"/>
    <w:rsid w:val="3D323178"/>
    <w:rsid w:val="3E2F3F92"/>
    <w:rsid w:val="3E2F5D43"/>
    <w:rsid w:val="3E470791"/>
    <w:rsid w:val="3E713B01"/>
    <w:rsid w:val="3E7A05BD"/>
    <w:rsid w:val="3F736F9C"/>
    <w:rsid w:val="3F7F4878"/>
    <w:rsid w:val="3FD17778"/>
    <w:rsid w:val="41C05E86"/>
    <w:rsid w:val="424905C4"/>
    <w:rsid w:val="425424E3"/>
    <w:rsid w:val="42C4601A"/>
    <w:rsid w:val="45456B8E"/>
    <w:rsid w:val="45E22945"/>
    <w:rsid w:val="461A5778"/>
    <w:rsid w:val="465B6AFA"/>
    <w:rsid w:val="46D44F7D"/>
    <w:rsid w:val="47371E1B"/>
    <w:rsid w:val="47F5469D"/>
    <w:rsid w:val="48205263"/>
    <w:rsid w:val="49C26D8E"/>
    <w:rsid w:val="4A581909"/>
    <w:rsid w:val="4B7D188B"/>
    <w:rsid w:val="4BCA7EF6"/>
    <w:rsid w:val="4CAF00D0"/>
    <w:rsid w:val="4CB17A72"/>
    <w:rsid w:val="4D131782"/>
    <w:rsid w:val="4E4E7F1B"/>
    <w:rsid w:val="4EF16AA0"/>
    <w:rsid w:val="4F4D170C"/>
    <w:rsid w:val="509D5B52"/>
    <w:rsid w:val="519F1876"/>
    <w:rsid w:val="52B31373"/>
    <w:rsid w:val="530D52D0"/>
    <w:rsid w:val="532042F0"/>
    <w:rsid w:val="539D0640"/>
    <w:rsid w:val="561C1905"/>
    <w:rsid w:val="578E387D"/>
    <w:rsid w:val="57B200C8"/>
    <w:rsid w:val="58064DF9"/>
    <w:rsid w:val="58363AB5"/>
    <w:rsid w:val="58924A53"/>
    <w:rsid w:val="592A7785"/>
    <w:rsid w:val="59B53B2B"/>
    <w:rsid w:val="5A4B582E"/>
    <w:rsid w:val="5B073DE6"/>
    <w:rsid w:val="5B6246E2"/>
    <w:rsid w:val="5B6C3B0B"/>
    <w:rsid w:val="5C99106D"/>
    <w:rsid w:val="5CC1262E"/>
    <w:rsid w:val="5D3C4582"/>
    <w:rsid w:val="5D7614C0"/>
    <w:rsid w:val="5DCD4B91"/>
    <w:rsid w:val="5E7D6C7C"/>
    <w:rsid w:val="5EBF3F02"/>
    <w:rsid w:val="5F3B036A"/>
    <w:rsid w:val="5F556990"/>
    <w:rsid w:val="5FCE083C"/>
    <w:rsid w:val="603A4953"/>
    <w:rsid w:val="61A76A6F"/>
    <w:rsid w:val="61B46507"/>
    <w:rsid w:val="622318AF"/>
    <w:rsid w:val="632A3BC2"/>
    <w:rsid w:val="63520F37"/>
    <w:rsid w:val="6375190D"/>
    <w:rsid w:val="66763229"/>
    <w:rsid w:val="66CE16B9"/>
    <w:rsid w:val="68BF65E6"/>
    <w:rsid w:val="68C3763B"/>
    <w:rsid w:val="68CC72FD"/>
    <w:rsid w:val="69147375"/>
    <w:rsid w:val="692F59A0"/>
    <w:rsid w:val="69B226F6"/>
    <w:rsid w:val="6A63339C"/>
    <w:rsid w:val="6AD33ADF"/>
    <w:rsid w:val="6B7F5B96"/>
    <w:rsid w:val="6B9237C7"/>
    <w:rsid w:val="6CBB00EF"/>
    <w:rsid w:val="6DDF7723"/>
    <w:rsid w:val="6E711D3F"/>
    <w:rsid w:val="6EA45410"/>
    <w:rsid w:val="6EAC1C64"/>
    <w:rsid w:val="6F6B1899"/>
    <w:rsid w:val="6FA6433B"/>
    <w:rsid w:val="6FFFC55B"/>
    <w:rsid w:val="70B33CD6"/>
    <w:rsid w:val="70D314A0"/>
    <w:rsid w:val="71177400"/>
    <w:rsid w:val="724F4888"/>
    <w:rsid w:val="72581325"/>
    <w:rsid w:val="731A0252"/>
    <w:rsid w:val="732A089E"/>
    <w:rsid w:val="74B3B3B5"/>
    <w:rsid w:val="74EB5A3B"/>
    <w:rsid w:val="74F60CF4"/>
    <w:rsid w:val="74F95ADA"/>
    <w:rsid w:val="75697C48"/>
    <w:rsid w:val="75E0057B"/>
    <w:rsid w:val="76573895"/>
    <w:rsid w:val="76910A96"/>
    <w:rsid w:val="76CE2958"/>
    <w:rsid w:val="772E3E17"/>
    <w:rsid w:val="77EBC5F7"/>
    <w:rsid w:val="78293DDC"/>
    <w:rsid w:val="78A36504"/>
    <w:rsid w:val="7AA31CB1"/>
    <w:rsid w:val="7AAB22DB"/>
    <w:rsid w:val="7B8D453C"/>
    <w:rsid w:val="7BAA5A20"/>
    <w:rsid w:val="7BD7548C"/>
    <w:rsid w:val="7BE57C80"/>
    <w:rsid w:val="7C033764"/>
    <w:rsid w:val="7C181D26"/>
    <w:rsid w:val="7C1F1186"/>
    <w:rsid w:val="7D12339E"/>
    <w:rsid w:val="7D73743F"/>
    <w:rsid w:val="7DA527B2"/>
    <w:rsid w:val="7E471B9A"/>
    <w:rsid w:val="7E8B17F1"/>
    <w:rsid w:val="7FBF1EBA"/>
    <w:rsid w:val="7FD61875"/>
    <w:rsid w:val="9EBB18B0"/>
    <w:rsid w:val="BF7BFA1D"/>
    <w:rsid w:val="CFEF5253"/>
    <w:rsid w:val="D6F7C807"/>
    <w:rsid w:val="F4E70A8C"/>
    <w:rsid w:val="FD9F0B12"/>
    <w:rsid w:val="FF7B573F"/>
    <w:rsid w:val="FFA101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eastAsia="仿宋_GB2312"/>
      <w:spacing w:val="0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1" w:hanging="431"/>
      <w:outlineLvl w:val="0"/>
    </w:pPr>
    <w:rPr>
      <w:rFonts w:ascii="Calibri" w:hAnsi="Calibri" w:eastAsia="宋体" w:cs="Times New Roman"/>
      <w:b/>
      <w:spacing w:val="0"/>
      <w:kern w:val="44"/>
      <w:sz w:val="44"/>
      <w:szCs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8" w:hanging="17"/>
      <w:outlineLvl w:val="1"/>
    </w:pPr>
    <w:rPr>
      <w:rFonts w:ascii="Arial" w:hAnsi="Arial" w:eastAsia="黑体" w:cs="Times New Roman"/>
      <w:b/>
      <w:spacing w:val="0"/>
      <w:sz w:val="32"/>
      <w:szCs w:val="24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29" w:hanging="29"/>
      <w:outlineLvl w:val="2"/>
    </w:pPr>
    <w:rPr>
      <w:rFonts w:ascii="Calibri" w:hAnsi="Calibri" w:eastAsia="宋体" w:cs="Times New Roman"/>
      <w:b/>
      <w:spacing w:val="0"/>
      <w:sz w:val="32"/>
      <w:szCs w:val="24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390" w:hanging="390"/>
      <w:outlineLvl w:val="3"/>
    </w:pPr>
    <w:rPr>
      <w:rFonts w:ascii="Arial" w:hAnsi="Arial" w:eastAsia="黑体" w:cs="Times New Roman"/>
      <w:b/>
      <w:spacing w:val="0"/>
      <w:sz w:val="28"/>
      <w:szCs w:val="24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520" w:hanging="520"/>
      <w:outlineLvl w:val="4"/>
    </w:pPr>
    <w:rPr>
      <w:rFonts w:ascii="Calibri" w:hAnsi="Calibri" w:eastAsia="宋体" w:cs="Times New Roman"/>
      <w:b/>
      <w:spacing w:val="0"/>
      <w:sz w:val="28"/>
      <w:szCs w:val="24"/>
    </w:rPr>
  </w:style>
  <w:style w:type="paragraph" w:styleId="7">
    <w:name w:val="heading 6"/>
    <w:basedOn w:val="1"/>
    <w:next w:val="1"/>
    <w:link w:val="18"/>
    <w:unhideWhenUsed/>
    <w:qFormat/>
    <w:uiPriority w:val="0"/>
    <w:pPr>
      <w:keepNext/>
      <w:keepLines/>
      <w:numPr>
        <w:ilvl w:val="5"/>
        <w:numId w:val="1"/>
      </w:numPr>
      <w:tabs>
        <w:tab w:val="left" w:pos="0"/>
      </w:tabs>
      <w:spacing w:after="64" w:line="317" w:lineRule="auto"/>
      <w:ind w:left="0" w:firstLine="562" w:firstLineChars="200"/>
      <w:outlineLvl w:val="5"/>
    </w:pPr>
    <w:rPr>
      <w:rFonts w:ascii="Times New Roman" w:hAnsi="Times New Roman" w:eastAsia="仿宋_GB2312" w:cs="Times New Roman"/>
      <w:b/>
      <w:spacing w:val="0"/>
      <w:sz w:val="28"/>
      <w:szCs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780" w:firstLine="431"/>
      <w:outlineLvl w:val="6"/>
    </w:pPr>
    <w:rPr>
      <w:rFonts w:ascii="Calibri" w:hAnsi="Calibri" w:eastAsia="宋体" w:cs="Times New Roman"/>
      <w:b/>
      <w:spacing w:val="0"/>
      <w:sz w:val="24"/>
      <w:szCs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910" w:firstLine="431"/>
      <w:outlineLvl w:val="7"/>
    </w:pPr>
    <w:rPr>
      <w:rFonts w:ascii="Arial" w:hAnsi="Arial" w:eastAsia="黑体" w:cs="Times New Roman"/>
      <w:spacing w:val="0"/>
      <w:sz w:val="24"/>
      <w:szCs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040" w:firstLine="431"/>
      <w:outlineLvl w:val="8"/>
    </w:pPr>
    <w:rPr>
      <w:rFonts w:ascii="Arial" w:hAnsi="Arial" w:eastAsia="黑体" w:cs="Times New Roman"/>
      <w:spacing w:val="0"/>
      <w:sz w:val="21"/>
      <w:szCs w:val="24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Style w:val="14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12">
    <w:name w:val="header"/>
    <w:basedOn w:val="1"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13">
    <w:name w:val="Normal (Web)"/>
    <w:basedOn w:val="1"/>
    <w:uiPriority w:val="0"/>
    <w:pPr>
      <w:widowControl/>
      <w:spacing w:before="100" w:beforeAutospacing="1" w:after="100" w:afterAutospacing="1" w:line="240" w:lineRule="auto"/>
      <w:ind w:left="0" w:right="0"/>
      <w:jc w:val="left"/>
    </w:pPr>
    <w:rPr>
      <w:rFonts w:hint="default" w:ascii="宋体" w:hAnsi="宋体" w:eastAsia="宋体" w:cs="宋体"/>
      <w:spacing w:val="0"/>
      <w:kern w:val="0"/>
      <w:sz w:val="24"/>
      <w:szCs w:val="24"/>
      <w:lang w:val="en-US" w:eastAsia="zh-CN" w:bidi="ar"/>
    </w:rPr>
  </w:style>
  <w:style w:type="character" w:styleId="16">
    <w:name w:val="page number"/>
    <w:basedOn w:val="15"/>
    <w:uiPriority w:val="0"/>
  </w:style>
  <w:style w:type="character" w:styleId="17">
    <w:name w:val="line number"/>
    <w:basedOn w:val="15"/>
    <w:uiPriority w:val="0"/>
  </w:style>
  <w:style w:type="character" w:customStyle="1" w:styleId="18">
    <w:name w:val="标题 6 Char"/>
    <w:link w:val="7"/>
    <w:qFormat/>
    <w:uiPriority w:val="0"/>
    <w:rPr>
      <w:rFonts w:ascii="Times New Roman" w:hAnsi="Times New Roman" w:eastAsia="仿宋_GB2312" w:cs="Times New Roman"/>
      <w:b/>
      <w:sz w:val="28"/>
    </w:rPr>
  </w:style>
  <w:style w:type="paragraph" w:customStyle="1" w:styleId="19">
    <w:name w:val="居中"/>
    <w:basedOn w:val="1"/>
    <w:uiPriority w:val="0"/>
    <w:pPr>
      <w:numPr>
        <w:ilvl w:val="0"/>
        <w:numId w:val="2"/>
      </w:numPr>
    </w:pPr>
  </w:style>
  <w:style w:type="paragraph" w:customStyle="1" w:styleId="20">
    <w:name w:val="正文缩进1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 w:line="240" w:lineRule="auto"/>
      <w:ind w:left="0" w:right="0" w:firstLine="420" w:firstLineChars="200"/>
      <w:jc w:val="both"/>
    </w:pPr>
    <w:rPr>
      <w:rFonts w:hint="eastAsia" w:ascii="Times New Roman" w:hAnsi="Times New Roman" w:eastAsia="宋体" w:cs="Times New Roman"/>
      <w:spacing w:val="0"/>
      <w:kern w:val="2"/>
      <w:sz w:val="21"/>
      <w:szCs w:val="21"/>
      <w:lang w:val="en-US" w:eastAsia="zh-CN" w:bidi="ar"/>
    </w:rPr>
  </w:style>
  <w:style w:type="character" w:customStyle="1" w:styleId="21">
    <w:name w:val="10"/>
    <w:basedOn w:val="15"/>
    <w:uiPriority w:val="0"/>
    <w:rPr>
      <w:rFonts w:hint="default" w:ascii="Calibri" w:hAnsi="Calibri" w:eastAsia="宋体" w:cs="Calibri"/>
    </w:rPr>
  </w:style>
  <w:style w:type="character" w:customStyle="1" w:styleId="22">
    <w:name w:val="15"/>
    <w:basedOn w:val="15"/>
    <w:uiPriority w:val="0"/>
    <w:rPr>
      <w:rFonts w:hint="eastAsia" w:ascii="宋体" w:hAnsi="宋体" w:eastAsia="宋体" w:cs="宋体"/>
      <w:color w:val="000000"/>
      <w:sz w:val="24"/>
      <w:szCs w:val="24"/>
    </w:rPr>
  </w:style>
  <w:style w:type="character" w:customStyle="1" w:styleId="23">
    <w:name w:val="16"/>
    <w:basedOn w:val="15"/>
    <w:uiPriority w:val="0"/>
    <w:rPr>
      <w:rFonts w:hint="eastAsia" w:ascii="仿宋_GB2312" w:hAnsi="Times New Roman" w:eastAsia="仿宋_GB2312" w:cs="仿宋_GB2312"/>
      <w:color w:val="000000"/>
      <w:sz w:val="24"/>
      <w:szCs w:val="24"/>
    </w:rPr>
  </w:style>
  <w:style w:type="character" w:customStyle="1" w:styleId="24">
    <w:name w:val="18"/>
    <w:basedOn w:val="15"/>
    <w:uiPriority w:val="0"/>
    <w:rPr>
      <w:rFonts w:hint="eastAsia" w:ascii="宋体" w:hAnsi="宋体" w:eastAsia="宋体" w:cs="宋体"/>
      <w:color w:val="000000"/>
      <w:sz w:val="24"/>
      <w:szCs w:val="24"/>
    </w:rPr>
  </w:style>
  <w:style w:type="character" w:customStyle="1" w:styleId="25">
    <w:name w:val="17"/>
    <w:basedOn w:val="15"/>
    <w:uiPriority w:val="0"/>
    <w:rPr>
      <w:rFonts w:hint="default" w:ascii="楷体_GB2312" w:hAnsi="Times New Roman" w:eastAsia="楷体_GB2312" w:cs="楷体_GB2312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29</Pages>
  <Words>8924</Words>
  <Characters>9214</Characters>
  <Lines>1</Lines>
  <Paragraphs>1</Paragraphs>
  <TotalTime>1</TotalTime>
  <ScaleCrop>false</ScaleCrop>
  <LinksUpToDate>false</LinksUpToDate>
  <CharactersWithSpaces>9221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2020-08-17T02:54:00Z</dcterms:created>
  <dc:creator>fjycadmin</dc:creator>
  <cp:lastModifiedBy>e星fxibk</cp:lastModifiedBy>
  <dcterms:modified xsi:type="dcterms:W3CDTF">2026-06-12T03:45:29Z</dcterms:modified>
  <dc:title>No:0000001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公文模板版本">
    <vt:lpwstr>20200227</vt:lpwstr>
  </property>
  <property fmtid="{D5CDD505-2E9C-101B-9397-08002B2CF9AE}" pid="4" name="ICV">
    <vt:lpwstr>5748230AA2A146099D10991CD26521CF_13</vt:lpwstr>
  </property>
  <property fmtid="{D5CDD505-2E9C-101B-9397-08002B2CF9AE}" pid="5" name="KSOTemplateDocerSaveRecord">
    <vt:lpwstr>eyJoZGlkIjoiYWFiZTFkMjUyYWFjZTkzNDAzNDAzNmFiMTU0N2JjM2IiLCJ1c2VySWQiOiI0MDUzMjcwNzQifQ==</vt:lpwstr>
  </property>
</Properties>
</file>